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C2F" w:rsidRDefault="00B26894" w:rsidP="00B2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ОДОБРЕНО                                                                                             УТВЕРЖДАЮ</w:t>
      </w:r>
    </w:p>
    <w:p w:rsidR="00B26894" w:rsidRDefault="00B26894" w:rsidP="00B268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Ученым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советом                                             Ректором КГТУ им. И. Раззакова</w:t>
      </w:r>
    </w:p>
    <w:p w:rsidR="00B26894" w:rsidRDefault="00B26894" w:rsidP="00B268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КГТУ им. И. Раззакова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проф.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М.К.Чыныбаев</w:t>
      </w:r>
      <w:proofErr w:type="spellEnd"/>
    </w:p>
    <w:p w:rsidR="00B26894" w:rsidRDefault="00B26894" w:rsidP="00B2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 от _______2026г.                                      ____________________</w:t>
      </w:r>
    </w:p>
    <w:p w:rsidR="00B26894" w:rsidRDefault="00B26894" w:rsidP="00B5207B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___________2026г.</w:t>
      </w:r>
    </w:p>
    <w:p w:rsidR="00B26894" w:rsidRDefault="00B26894" w:rsidP="00B5207B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Приказ № _________________</w:t>
      </w:r>
    </w:p>
    <w:p w:rsidR="00B26894" w:rsidRDefault="00B26894" w:rsidP="00B5207B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___________2026г.</w:t>
      </w:r>
    </w:p>
    <w:p w:rsidR="00B26894" w:rsidRDefault="00B26894" w:rsidP="00B268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07B" w:rsidRDefault="00B5207B" w:rsidP="00B268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C2F" w:rsidRPr="003E7C2F" w:rsidRDefault="003E7C2F" w:rsidP="003E7C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СТРАТЕГИЧЕСКИЙ ПЛАН</w:t>
      </w:r>
    </w:p>
    <w:p w:rsidR="003E7C2F" w:rsidRPr="003E7C2F" w:rsidRDefault="003E7C2F" w:rsidP="00F548F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Учреждения «Технопарк Кыргызского государственного технического университета имени И. Раззакова»</w:t>
      </w:r>
      <w:r w:rsidRPr="003E7C2F">
        <w:rPr>
          <w:rFonts w:ascii="Times New Roman" w:hAnsi="Times New Roman" w:cs="Times New Roman"/>
          <w:sz w:val="28"/>
          <w:szCs w:val="28"/>
        </w:rPr>
        <w:br/>
        <w:t>на 2026–2030 годы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82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1.1. Настоящий Стратегический план разработан в соответствии с Конституцией Кыргызской Республики, Законом КР «Об образовании», Законом КР «О науке и об основах государственной научно-технической политики», Национальной стратегией развития КР до 2030 года, а также Уставом КГТУ им. И. Раззакова и Положением о Технопарке.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1.2. Стратегический план определяет приоритетные направления развития, цели, задачи, механизмы реализации, показатели эффективности и финансово-экономические ориентиры деятельности Технопарка на период 2026–2030 гг.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1.3. План подлежит ежегодной актуализации с </w:t>
      </w:r>
      <w:r w:rsidR="006034A2" w:rsidRPr="003E7C2F">
        <w:rPr>
          <w:rFonts w:ascii="Times New Roman" w:hAnsi="Times New Roman" w:cs="Times New Roman"/>
          <w:sz w:val="28"/>
          <w:szCs w:val="28"/>
        </w:rPr>
        <w:t>учётом</w:t>
      </w:r>
      <w:r w:rsidRPr="003E7C2F">
        <w:rPr>
          <w:rFonts w:ascii="Times New Roman" w:hAnsi="Times New Roman" w:cs="Times New Roman"/>
          <w:sz w:val="28"/>
          <w:szCs w:val="28"/>
        </w:rPr>
        <w:t xml:space="preserve"> изменений государственной политики, экономической ситуации и результатов деятельности Технопарка.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02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2. Миссия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Формирование устойчивой инновационно-технологической экосистемы, обеспечивающей интеграцию науки, образования и производства, коммерциализацию разработок КГТУ, поддержку технологического предпринимательства и подготовку кадров для цифровой и индустриальной экономики Кыргызской Республики.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pict>
          <v:rect id="_x0000_i1400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3. Видение (Vision)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К 2030 году Технопарк КГТУ станет национальным центром технологических инноваций, признанным на региональном уровне, с современной инфраструктурой, устойчивой моделью финансирования, успешными стартапами-резидентами и тесным взаимодействием с промышленностью.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98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4. Стратегические приоритеты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и цифровой инфраструктуры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6034A2" w:rsidRPr="003E7C2F">
        <w:rPr>
          <w:rFonts w:ascii="Times New Roman" w:hAnsi="Times New Roman" w:cs="Times New Roman"/>
          <w:b/>
          <w:bCs/>
          <w:sz w:val="28"/>
          <w:szCs w:val="28"/>
        </w:rPr>
        <w:t>учётом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направлений п.7 </w:t>
      </w:r>
      <w:r w:rsidR="001B7639" w:rsidRPr="001B7639">
        <w:rPr>
          <w:rFonts w:ascii="Times New Roman" w:hAnsi="Times New Roman" w:cs="Times New Roman"/>
          <w:b/>
          <w:bCs/>
          <w:sz w:val="28"/>
          <w:szCs w:val="28"/>
        </w:rPr>
        <w:t>(ЭЗС, дроны, интерактивные панели, мебель, солнечная энергетика, ноутбуки, возможность производства дополнительных проектов)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Поддержка инновационных проектов и стартапов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приоритетных областях п.7.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Коммерциализация научных разработок КГТУ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том числе по направлениям п.7.</w:t>
      </w:r>
    </w:p>
    <w:p w:rsidR="003E7C2F" w:rsidRPr="003E7C2F" w:rsidRDefault="006034A2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Партнёрство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промышленностью и бизнесом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по проектам ЭЗС, БПЛА, солнечной энергетики, интерактивных решений и производства.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Развитие человеческого капитала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через подготовку кадров по всем направлениям п.7.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рамках проектов п.7.</w:t>
      </w:r>
    </w:p>
    <w:p w:rsidR="003E7C2F" w:rsidRPr="003E7C2F" w:rsidRDefault="003E7C2F" w:rsidP="003E7C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Финансовая устойчивость и эффективное управление </w:t>
      </w:r>
      <w:r w:rsidR="001B7639" w:rsidRPr="001B7639">
        <w:rPr>
          <w:rFonts w:ascii="Times New Roman" w:hAnsi="Times New Roman" w:cs="Times New Roman"/>
          <w:b/>
          <w:bCs/>
          <w:sz w:val="28"/>
          <w:szCs w:val="28"/>
        </w:rPr>
        <w:t>с монетизацией услуг по направлениям п.7 и возможностью производства дополнительных проектов.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96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4.1. Сквозная интеграция пункта 7 в стратегию</w:t>
      </w:r>
    </w:p>
    <w:p w:rsidR="003E7C2F" w:rsidRPr="003E7C2F" w:rsidRDefault="003E7C2F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Направления пункта 7 являются сквозными и обязательны к </w:t>
      </w:r>
      <w:r w:rsidR="006034A2" w:rsidRPr="003E7C2F">
        <w:rPr>
          <w:rFonts w:ascii="Times New Roman" w:hAnsi="Times New Roman" w:cs="Times New Roman"/>
          <w:sz w:val="28"/>
          <w:szCs w:val="28"/>
        </w:rPr>
        <w:t>учёту</w:t>
      </w:r>
      <w:r w:rsidRPr="003E7C2F">
        <w:rPr>
          <w:rFonts w:ascii="Times New Roman" w:hAnsi="Times New Roman" w:cs="Times New Roman"/>
          <w:sz w:val="28"/>
          <w:szCs w:val="28"/>
        </w:rPr>
        <w:t xml:space="preserve"> при планировании всех программ, проектов и бюджетов Технопарка.</w:t>
      </w:r>
    </w:p>
    <w:p w:rsidR="001B7639" w:rsidRDefault="001B7639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639">
        <w:rPr>
          <w:rFonts w:ascii="Times New Roman" w:hAnsi="Times New Roman" w:cs="Times New Roman"/>
          <w:sz w:val="28"/>
          <w:szCs w:val="28"/>
        </w:rPr>
        <w:t xml:space="preserve">Все инфраструктурные решения (лаборатории, ЦОД, полигоны, </w:t>
      </w:r>
      <w:proofErr w:type="spellStart"/>
      <w:r w:rsidRPr="001B7639">
        <w:rPr>
          <w:rFonts w:ascii="Times New Roman" w:hAnsi="Times New Roman" w:cs="Times New Roman"/>
          <w:sz w:val="28"/>
          <w:szCs w:val="28"/>
        </w:rPr>
        <w:t>FabLab</w:t>
      </w:r>
      <w:proofErr w:type="spellEnd"/>
      <w:r w:rsidRPr="001B7639">
        <w:rPr>
          <w:rFonts w:ascii="Times New Roman" w:hAnsi="Times New Roman" w:cs="Times New Roman"/>
          <w:sz w:val="28"/>
          <w:szCs w:val="28"/>
        </w:rPr>
        <w:t xml:space="preserve">) проектируются с </w:t>
      </w:r>
      <w:r w:rsidR="006034A2" w:rsidRPr="001B7639">
        <w:rPr>
          <w:rFonts w:ascii="Times New Roman" w:hAnsi="Times New Roman" w:cs="Times New Roman"/>
          <w:sz w:val="28"/>
          <w:szCs w:val="28"/>
        </w:rPr>
        <w:t>учётом</w:t>
      </w:r>
      <w:r w:rsidRPr="001B7639">
        <w:rPr>
          <w:rFonts w:ascii="Times New Roman" w:hAnsi="Times New Roman" w:cs="Times New Roman"/>
          <w:sz w:val="28"/>
          <w:szCs w:val="28"/>
        </w:rPr>
        <w:t xml:space="preserve"> потребностей ЭЗС, БПЛА, интерактивных панелей, производства ноутбуков, мебели и солнечной энергетики, а также возможности производства дополнительных проектов.</w:t>
      </w:r>
    </w:p>
    <w:p w:rsidR="003E7C2F" w:rsidRPr="003E7C2F" w:rsidRDefault="003E7C2F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t>Все образовательные и акселерационные программы должны включать практические кейсы по направлениям пункта 7.</w:t>
      </w:r>
    </w:p>
    <w:p w:rsidR="003E7C2F" w:rsidRPr="003E7C2F" w:rsidRDefault="003E7C2F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Все научно-исследовательские и опытно-конструкторские работы приоритетно ориентируются на интеграцию: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солнечная энергетика → накопление энергии → ЭЗС → цифровые платформы → БПЛА и </w:t>
      </w:r>
      <w:proofErr w:type="spellStart"/>
      <w:r w:rsidRPr="003E7C2F">
        <w:rPr>
          <w:rFonts w:ascii="Times New Roman" w:hAnsi="Times New Roman" w:cs="Times New Roman"/>
          <w:b/>
          <w:bCs/>
          <w:sz w:val="28"/>
          <w:szCs w:val="28"/>
        </w:rPr>
        <w:t>IoT</w:t>
      </w:r>
      <w:proofErr w:type="spellEnd"/>
      <w:r w:rsidRPr="003E7C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7639" w:rsidRDefault="001B7639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639">
        <w:rPr>
          <w:rFonts w:ascii="Times New Roman" w:hAnsi="Times New Roman" w:cs="Times New Roman"/>
          <w:sz w:val="28"/>
          <w:szCs w:val="28"/>
        </w:rPr>
        <w:t>Производственные инициативы (ноутбуки, мебель, дополнительные проекты) рассматриваются как элементы единой технологической цепочки Технопарка.</w:t>
      </w:r>
    </w:p>
    <w:p w:rsidR="003E7C2F" w:rsidRPr="003E7C2F" w:rsidRDefault="006034A2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Партнёрства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государством и бизнесом формируются преимущественно вокруг комплексных проектов, объединяющих не менее двух направлений пункта 7.</w:t>
      </w:r>
    </w:p>
    <w:p w:rsidR="003E7C2F" w:rsidRPr="003E7C2F" w:rsidRDefault="003E7C2F" w:rsidP="003E7C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Бюджетное планирование и привлечение инвестиций осуществляется с приоритетом проектов пункта 7 как ключевых драйверов развития Технопарка.</w:t>
      </w:r>
    </w:p>
    <w:p w:rsidR="00B5207B" w:rsidRDefault="00B5207B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13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5. SWOT-анализ (расширенный)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Сильные стороны</w:t>
      </w:r>
    </w:p>
    <w:p w:rsidR="003E7C2F" w:rsidRPr="003E7C2F" w:rsidRDefault="003E7C2F" w:rsidP="003E7C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Научно-образовательная база КГТУ.</w:t>
      </w:r>
    </w:p>
    <w:p w:rsidR="003E7C2F" w:rsidRPr="003E7C2F" w:rsidRDefault="003E7C2F" w:rsidP="003E7C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Доступ к студентам инженерных и IT-направлений.</w:t>
      </w:r>
    </w:p>
    <w:p w:rsidR="003E7C2F" w:rsidRPr="003E7C2F" w:rsidRDefault="003E7C2F" w:rsidP="003E7C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Институциональная поддержка университета.</w:t>
      </w:r>
    </w:p>
    <w:p w:rsidR="003E7C2F" w:rsidRPr="003E7C2F" w:rsidRDefault="003E7C2F" w:rsidP="003E7C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Наличие производственных и лабораторных площадей.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Слабые стороны</w:t>
      </w:r>
    </w:p>
    <w:p w:rsidR="003E7C2F" w:rsidRPr="003E7C2F" w:rsidRDefault="003E7C2F" w:rsidP="003E7C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Ограниченное бюджетное финансирование.</w:t>
      </w:r>
    </w:p>
    <w:p w:rsidR="003E7C2F" w:rsidRPr="003E7C2F" w:rsidRDefault="003E7C2F" w:rsidP="003E7C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Недостаток современного оборудования.</w:t>
      </w:r>
    </w:p>
    <w:p w:rsidR="003E7C2F" w:rsidRPr="003E7C2F" w:rsidRDefault="003E7C2F" w:rsidP="003E7C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Ограниченный опыт венчурного финансирования.</w:t>
      </w:r>
    </w:p>
    <w:p w:rsidR="003E7C2F" w:rsidRPr="003E7C2F" w:rsidRDefault="003E7C2F" w:rsidP="003E7C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Недостаточная коммерциализация разработок.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Возможности</w:t>
      </w:r>
    </w:p>
    <w:p w:rsidR="003E7C2F" w:rsidRPr="003E7C2F" w:rsidRDefault="003E7C2F" w:rsidP="003E7C2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Государственные программы цифровизации и индустриализации.</w:t>
      </w:r>
    </w:p>
    <w:p w:rsidR="003E7C2F" w:rsidRPr="003E7C2F" w:rsidRDefault="003E7C2F" w:rsidP="003E7C2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Международные гранты (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Horizon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>+, GIZ, JICA и др.).</w:t>
      </w:r>
    </w:p>
    <w:p w:rsidR="003E7C2F" w:rsidRPr="003E7C2F" w:rsidRDefault="003E7C2F" w:rsidP="003E7C2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Рост рынка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электромобильности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 xml:space="preserve"> и </w:t>
      </w:r>
      <w:r w:rsidR="006034A2" w:rsidRPr="003E7C2F">
        <w:rPr>
          <w:rFonts w:ascii="Times New Roman" w:hAnsi="Times New Roman" w:cs="Times New Roman"/>
          <w:sz w:val="28"/>
          <w:szCs w:val="28"/>
        </w:rPr>
        <w:t>зелёных</w:t>
      </w:r>
      <w:r w:rsidRPr="003E7C2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3E7C2F" w:rsidRPr="003E7C2F" w:rsidRDefault="003E7C2F" w:rsidP="003E7C2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Развитие производства электроники и ноутбуков в КР.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Угрозы</w:t>
      </w:r>
    </w:p>
    <w:p w:rsidR="003E7C2F" w:rsidRPr="003E7C2F" w:rsidRDefault="003E7C2F" w:rsidP="003E7C2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Конкуренция со стороны частных технопарков.</w:t>
      </w:r>
    </w:p>
    <w:p w:rsidR="003E7C2F" w:rsidRPr="003E7C2F" w:rsidRDefault="003E7C2F" w:rsidP="003E7C2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Экономическая нестабильность.</w:t>
      </w:r>
    </w:p>
    <w:p w:rsidR="003E7C2F" w:rsidRPr="003E7C2F" w:rsidRDefault="003E7C2F" w:rsidP="003E7C2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Утечка кадров за рубеж.</w:t>
      </w:r>
    </w:p>
    <w:p w:rsidR="003E7C2F" w:rsidRPr="003E7C2F" w:rsidRDefault="003E7C2F" w:rsidP="003E7C2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Быстрое устаревание технологий.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94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6. Стратегические цели и задачи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1: Развитие инфраструктуры Технопарка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Создание и модернизация лабораторий: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 xml:space="preserve">, робототехника, электроника, программирование, кибербезопасность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(включая лаборатории дронов и солнечной энергетики – п.7.3, 7.6).</w:t>
      </w:r>
    </w:p>
    <w:p w:rsidR="003E7C2F" w:rsidRPr="003E7C2F" w:rsidRDefault="003E7C2F" w:rsidP="003E7C2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FabLab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 xml:space="preserve"> и центра прототипирования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(для мебели, корпусов электроники, деталей дронов – п.7.5).</w:t>
      </w:r>
    </w:p>
    <w:p w:rsidR="003E7C2F" w:rsidRPr="003E7C2F" w:rsidRDefault="003E7C2F" w:rsidP="003E7C2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Оснащение коворкинга на 50 рабочих мест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(мебель собственного производства – п.7.5).</w:t>
      </w:r>
    </w:p>
    <w:p w:rsidR="003E7C2F" w:rsidRPr="003E7C2F" w:rsidRDefault="003E7C2F" w:rsidP="003E7C2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Создание серверной инфраструктуры и центра обработки данных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(для управления ЭЗС и аналитики БПЛА – п.7.1, 7.3).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2: Поддержка инновационных проектов и стартапов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Запуск ежегодной акселерационной программы (2 набора в год)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с треками: ЭЗС, дроны, </w:t>
      </w:r>
      <w:proofErr w:type="spellStart"/>
      <w:r w:rsidRPr="003E7C2F">
        <w:rPr>
          <w:rFonts w:ascii="Times New Roman" w:hAnsi="Times New Roman" w:cs="Times New Roman"/>
          <w:b/>
          <w:bCs/>
          <w:sz w:val="28"/>
          <w:szCs w:val="28"/>
        </w:rPr>
        <w:t>EdTech</w:t>
      </w:r>
      <w:proofErr w:type="spellEnd"/>
      <w:r w:rsidRPr="003E7C2F">
        <w:rPr>
          <w:rFonts w:ascii="Times New Roman" w:hAnsi="Times New Roman" w:cs="Times New Roman"/>
          <w:b/>
          <w:bCs/>
          <w:sz w:val="28"/>
          <w:szCs w:val="28"/>
        </w:rPr>
        <w:t>, солнечная энергетика, производство.</w:t>
      </w:r>
    </w:p>
    <w:p w:rsidR="003E7C2F" w:rsidRPr="003E7C2F" w:rsidRDefault="003E7C2F" w:rsidP="003E7C2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Формирование пула менторов из бизнеса и науки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по направлениям п.7.</w:t>
      </w:r>
    </w:p>
    <w:p w:rsidR="003E7C2F" w:rsidRPr="003E7C2F" w:rsidRDefault="003E7C2F" w:rsidP="003E7C2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Создание посевного фонда Технопарка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с квотами для проектов п.7.</w:t>
      </w:r>
    </w:p>
    <w:p w:rsidR="003E7C2F" w:rsidRPr="003E7C2F" w:rsidRDefault="003E7C2F" w:rsidP="003E7C2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Поддержка не менее 10 стартапов ежегодно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(не менее 50% – по направлениям п.7).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3: Коммерциализация разработок КГТУ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Инвентаризация перспективных разработок университета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областях п.7.</w:t>
      </w:r>
    </w:p>
    <w:p w:rsidR="003E7C2F" w:rsidRPr="003E7C2F" w:rsidRDefault="003E7C2F" w:rsidP="003E7C2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офиса трансфера технологий (TTO)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с профильными экспертами по ЭЗС, БПЛА и солнечной энергетике.</w:t>
      </w:r>
    </w:p>
    <w:p w:rsidR="003E7C2F" w:rsidRPr="003E7C2F" w:rsidRDefault="003E7C2F" w:rsidP="003E7C2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Подача не менее 5 патентов к 2030 году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(не менее 2 – по направлениям п.7).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4: Взаимодействие с промышленностью и бизнесом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Заключение не менее 3 соглашений ежегодно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(операторы ЭЗС, агробизнес/БПЛА, школы/интерактивные панели, энергетика).</w:t>
      </w:r>
    </w:p>
    <w:p w:rsidR="003E7C2F" w:rsidRPr="003E7C2F" w:rsidRDefault="003E7C2F" w:rsidP="003E7C2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Совместные R&amp;D проекты с предприятиями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по п.7.1–7.6.</w:t>
      </w:r>
    </w:p>
    <w:p w:rsidR="003E7C2F" w:rsidRPr="003E7C2F" w:rsidRDefault="003E7C2F" w:rsidP="003E7C2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Организация оплачиваемых стажировок для студентов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проектах п.7.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5: Развитие человеческого капитала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Обучение студентов предпринимательству и инновациям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с кейсами по п.7.</w:t>
      </w:r>
    </w:p>
    <w:p w:rsidR="003E7C2F" w:rsidRPr="003E7C2F" w:rsidRDefault="003E7C2F" w:rsidP="003E7C2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Технопарка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по ЭЗС, БПЛА, солнечной энергетике и цифровому производству.</w:t>
      </w:r>
    </w:p>
    <w:p w:rsidR="003E7C2F" w:rsidRPr="003E7C2F" w:rsidRDefault="003E7C2F" w:rsidP="003E7C2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Привлечение отраслевых экспертов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по всем направлениям п.7.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6: Международное сотрудничество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6034A2" w:rsidP="003E7C2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Партнёрства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технопарками стран ЦА, ЕС и Азии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по проектам ЭЗС, БПЛА и солнечной энергетики.</w:t>
      </w:r>
    </w:p>
    <w:p w:rsidR="003E7C2F" w:rsidRPr="003E7C2F" w:rsidRDefault="003E7C2F" w:rsidP="003E7C2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Участие в международных грантах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3E7C2F">
        <w:rPr>
          <w:rFonts w:ascii="Times New Roman" w:hAnsi="Times New Roman" w:cs="Times New Roman"/>
          <w:b/>
          <w:bCs/>
          <w:sz w:val="28"/>
          <w:szCs w:val="28"/>
        </w:rPr>
        <w:t>Horizon</w:t>
      </w:r>
      <w:proofErr w:type="spellEnd"/>
      <w:r w:rsidRPr="003E7C2F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3E7C2F">
        <w:rPr>
          <w:rFonts w:ascii="Times New Roman" w:hAnsi="Times New Roman" w:cs="Times New Roman"/>
          <w:b/>
          <w:bCs/>
          <w:sz w:val="28"/>
          <w:szCs w:val="28"/>
        </w:rPr>
        <w:t>Erasmus</w:t>
      </w:r>
      <w:proofErr w:type="spellEnd"/>
      <w:r w:rsidRPr="003E7C2F">
        <w:rPr>
          <w:rFonts w:ascii="Times New Roman" w:hAnsi="Times New Roman" w:cs="Times New Roman"/>
          <w:b/>
          <w:bCs/>
          <w:sz w:val="28"/>
          <w:szCs w:val="28"/>
        </w:rPr>
        <w:t>+ по темам п.7).</w:t>
      </w:r>
    </w:p>
    <w:p w:rsidR="003E7C2F" w:rsidRPr="003E7C2F" w:rsidRDefault="003E7C2F" w:rsidP="003E7C2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Проведение ежегодного международного хакатона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(трек по дронам и </w:t>
      </w:r>
      <w:r w:rsidR="006034A2" w:rsidRPr="003E7C2F">
        <w:rPr>
          <w:rFonts w:ascii="Times New Roman" w:hAnsi="Times New Roman" w:cs="Times New Roman"/>
          <w:b/>
          <w:bCs/>
          <w:sz w:val="28"/>
          <w:szCs w:val="28"/>
        </w:rPr>
        <w:t>зелёной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 энергетике).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Цель 7: Финансовая устойчивость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7C2F" w:rsidRPr="003E7C2F" w:rsidRDefault="003E7C2F" w:rsidP="003E7C2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Диверсификация источников финансирования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через услуги по п.7.</w:t>
      </w:r>
    </w:p>
    <w:p w:rsidR="003E7C2F" w:rsidRPr="003E7C2F" w:rsidRDefault="003E7C2F" w:rsidP="003E7C2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Введение платных услуг (лаборатории, коворкинг, акселератор)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и сервисов по ЭЗС/БПЛА/солнечной энергетике.</w:t>
      </w:r>
    </w:p>
    <w:p w:rsidR="003E7C2F" w:rsidRPr="003E7C2F" w:rsidRDefault="003E7C2F" w:rsidP="003E7C2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Привлечение частных инвестиций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в проекты п.7.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92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Специальные направления развития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7.1. Электрозарядные станции (ЭЗС)</w:t>
      </w:r>
    </w:p>
    <w:p w:rsidR="003E7C2F" w:rsidRPr="003E7C2F" w:rsidRDefault="003E7C2F" w:rsidP="003E7C2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учебно-практического полигона ЭЗС (не менее 3 типов зарядных станций: AC, DC, быстрая зарядка).</w:t>
      </w:r>
    </w:p>
    <w:p w:rsidR="003E7C2F" w:rsidRPr="003E7C2F" w:rsidRDefault="006034A2" w:rsidP="003E7C2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Партнёрство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операторами зарядных сетей и энергокомпаниями.</w:t>
      </w:r>
    </w:p>
    <w:p w:rsidR="003E7C2F" w:rsidRPr="003E7C2F" w:rsidRDefault="003E7C2F" w:rsidP="003E7C2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Разработка отечественных программно-аппаратных решений для управления ЭЗС и биллинга.</w:t>
      </w:r>
    </w:p>
    <w:p w:rsidR="003E7C2F" w:rsidRPr="003E7C2F" w:rsidRDefault="003E7C2F" w:rsidP="003E7C2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Подготовка специалистов по проектированию, эксплуатации и обслуживанию ЭЗС (не менее 50 выпускников к 2030 г.).</w:t>
      </w:r>
    </w:p>
    <w:p w:rsidR="003E7C2F" w:rsidRPr="003E7C2F" w:rsidRDefault="003E7C2F" w:rsidP="003E7C2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Пилотное внедрение ЭЗС на территории КГТУ и </w:t>
      </w:r>
      <w:r w:rsidR="006034A2" w:rsidRPr="003E7C2F">
        <w:rPr>
          <w:rFonts w:ascii="Times New Roman" w:hAnsi="Times New Roman" w:cs="Times New Roman"/>
          <w:sz w:val="28"/>
          <w:szCs w:val="28"/>
        </w:rPr>
        <w:t>партнёрских</w:t>
      </w:r>
      <w:r w:rsidRPr="003E7C2F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7.2. Производство и сборка ноутбуков</w:t>
      </w:r>
    </w:p>
    <w:p w:rsidR="003E7C2F" w:rsidRPr="003E7C2F" w:rsidRDefault="003E7C2F" w:rsidP="003E7C2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Организация учебно-производственного участка по сборке и ремонту ноутбуков.</w:t>
      </w:r>
    </w:p>
    <w:p w:rsidR="003E7C2F" w:rsidRPr="003E7C2F" w:rsidRDefault="003E7C2F" w:rsidP="003E7C2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Разработка стандартов сборки, тестирования и контроля качества.</w:t>
      </w:r>
    </w:p>
    <w:p w:rsidR="003E7C2F" w:rsidRPr="003E7C2F" w:rsidRDefault="003E7C2F" w:rsidP="003E7C2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линии тестирования (стресс-тесты, температурные испытания, контроль компонентов).</w:t>
      </w:r>
    </w:p>
    <w:p w:rsidR="003E7C2F" w:rsidRPr="003E7C2F" w:rsidRDefault="003E7C2F" w:rsidP="003E7C2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Подготовка кадров по ремонту и сборке ноутбуков (не менее 100 специалистов к 2030 г.).</w:t>
      </w:r>
    </w:p>
    <w:p w:rsidR="003E7C2F" w:rsidRPr="003E7C2F" w:rsidRDefault="006034A2" w:rsidP="003E7C2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Партнёрство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зарубежными поставщиками комплектующих и локальными сервисными центрами.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7.3. Беспилотные летательные аппараты (дроны)</w:t>
      </w:r>
    </w:p>
    <w:p w:rsidR="003E7C2F" w:rsidRPr="003E7C2F" w:rsidRDefault="003E7C2F" w:rsidP="003E7C2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лаборатории разработки и испытаний БПЛА.</w:t>
      </w:r>
    </w:p>
    <w:p w:rsidR="003E7C2F" w:rsidRPr="003E7C2F" w:rsidRDefault="003E7C2F" w:rsidP="003E7C2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Разработка учебных и промышленных моделей дронов (мониторинг инфраструктуры, сельское хозяйство, картография, экологический контроль, безопасность).</w:t>
      </w:r>
    </w:p>
    <w:p w:rsidR="003E7C2F" w:rsidRPr="003E7C2F" w:rsidRDefault="003E7C2F" w:rsidP="003E7C2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Создание симуляционного центра и полигона для тестовых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полетов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КР.</w:t>
      </w:r>
    </w:p>
    <w:p w:rsidR="003E7C2F" w:rsidRPr="003E7C2F" w:rsidRDefault="003E7C2F" w:rsidP="003E7C2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Подготовка операторов и инженеров по обслуживанию дронов (не менее 60 специалистов к 2030 г.).</w:t>
      </w:r>
    </w:p>
    <w:p w:rsidR="003E7C2F" w:rsidRPr="003E7C2F" w:rsidRDefault="006034A2" w:rsidP="003E7C2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Партнёрство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 госорганами, агробизнесом и строительными компаниями для пилотных проектов.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7.4. Интерактивные панели и образовательные технологии</w:t>
      </w:r>
    </w:p>
    <w:p w:rsidR="003E7C2F" w:rsidRPr="003E7C2F" w:rsidRDefault="003E7C2F" w:rsidP="003E7C2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t>Разработка и сборка отечественных интерактивных панелей для школ и вузов.</w:t>
      </w:r>
    </w:p>
    <w:p w:rsidR="003E7C2F" w:rsidRPr="003E7C2F" w:rsidRDefault="003E7C2F" w:rsidP="003E7C2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специализированного программного обеспечения и цифрового образовательного контента.</w:t>
      </w:r>
    </w:p>
    <w:p w:rsidR="003E7C2F" w:rsidRPr="003E7C2F" w:rsidRDefault="003E7C2F" w:rsidP="003E7C2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Пилотное внедрение в не менее чем 10 образовательных учреждениях.</w:t>
      </w:r>
    </w:p>
    <w:p w:rsidR="003E7C2F" w:rsidRPr="003E7C2F" w:rsidRDefault="003E7C2F" w:rsidP="003E7C2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Подготовка преподавателей по работе с интерактивными технологиями.</w:t>
      </w:r>
    </w:p>
    <w:p w:rsidR="003E7C2F" w:rsidRPr="003E7C2F" w:rsidRDefault="003E7C2F" w:rsidP="003E7C2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сервисного центра по обслуживанию интерактивных систем.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7.5. Производство и дизайн мебели</w:t>
      </w:r>
    </w:p>
    <w:p w:rsidR="003E7C2F" w:rsidRPr="003E7C2F" w:rsidRDefault="003E7C2F" w:rsidP="003E7C2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мастерской по проектированию и изготовлению современной учебной и офисной мебели.</w:t>
      </w:r>
    </w:p>
    <w:p w:rsidR="003E7C2F" w:rsidRPr="003E7C2F" w:rsidRDefault="003E7C2F" w:rsidP="003E7C2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Использование цифровых технологий (CNC, лазерная резка, 3D-моделирование, параметрический дизайн).</w:t>
      </w:r>
    </w:p>
    <w:p w:rsidR="003E7C2F" w:rsidRPr="003E7C2F" w:rsidRDefault="003E7C2F" w:rsidP="003E7C2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Разработка эргономичных рабочих мест для коворкинга, лабораторий и учебных аудиторий.</w:t>
      </w:r>
    </w:p>
    <w:p w:rsidR="003E7C2F" w:rsidRPr="003E7C2F" w:rsidRDefault="003E7C2F" w:rsidP="003E7C2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Производство опытных образцов и серийное изготовление для внутренних и внешних заказчиков.</w:t>
      </w:r>
    </w:p>
    <w:p w:rsidR="003E7C2F" w:rsidRPr="003E7C2F" w:rsidRDefault="003E7C2F" w:rsidP="003E7C2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Внедрение экологичных материалов и модульных конструкций.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7.6. Солнечная энергетика и аккумуляторные системы</w:t>
      </w:r>
    </w:p>
    <w:p w:rsidR="003E7C2F" w:rsidRP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Создание учебно-исследовательской лаборатории солнечной энергетики.</w:t>
      </w:r>
    </w:p>
    <w:p w:rsidR="003E7C2F" w:rsidRP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Разработка и сборка солнечных панелей малой и средней мощности.</w:t>
      </w:r>
    </w:p>
    <w:p w:rsidR="003E7C2F" w:rsidRP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Проектирование и сборка накопительных систем (аккумуляторные батареи, BMS, инверторы).</w:t>
      </w:r>
    </w:p>
    <w:p w:rsidR="003E7C2F" w:rsidRP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Пилотные проекты по внедрению солнечных систем на объектах КГТУ и Технопарка (не менее 3 объектов к 2030 г.).</w:t>
      </w:r>
    </w:p>
    <w:p w:rsidR="003E7C2F" w:rsidRP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Подготовка специалистов по проектированию, монтажу и обслуживанию солнечных электростанций.</w:t>
      </w:r>
    </w:p>
    <w:p w:rsidR="003E7C2F" w:rsidRDefault="003E7C2F" w:rsidP="003E7C2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Интеграция солнечных систем с ЭЗС и локальными микросетями.</w:t>
      </w:r>
    </w:p>
    <w:p w:rsidR="001B7639" w:rsidRPr="001B7639" w:rsidRDefault="001B7639" w:rsidP="001B7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B76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7.7. </w:t>
      </w:r>
      <w:r w:rsidRPr="001B76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Возможные будущие проекты</w:t>
      </w:r>
    </w:p>
    <w:p w:rsidR="001B7639" w:rsidRPr="001B7639" w:rsidRDefault="001B7639" w:rsidP="001B76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Разработка и производство новых прототипов и коммерческих проектов по направлениям п.7.</w:t>
      </w:r>
    </w:p>
    <w:p w:rsidR="001B7639" w:rsidRPr="001B7639" w:rsidRDefault="001B7639" w:rsidP="001B76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Расширение существующих инициатив и интеграция дополнительных технологий.</w:t>
      </w:r>
    </w:p>
    <w:p w:rsidR="001B7639" w:rsidRPr="001B7639" w:rsidRDefault="001B7639" w:rsidP="001B76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Подготовка к внедрению инноваций, которые могут появиться к 2030 году, обеспечивая гибкость и адаптивность Технопарка.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90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8. Ключевые показатели эффективности (KPI)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Нормативно закрепляемые целевые показатели (обязательные к исполнению):</w:t>
      </w:r>
    </w:p>
    <w:p w:rsidR="003E7C2F" w:rsidRPr="003E7C2F" w:rsidRDefault="003E7C2F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Поддержанные стартапы: 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3E7C2F">
        <w:rPr>
          <w:rFonts w:ascii="Times New Roman" w:hAnsi="Times New Roman" w:cs="Times New Roman"/>
          <w:sz w:val="28"/>
          <w:szCs w:val="28"/>
        </w:rPr>
        <w:t xml:space="preserve"> к 2030 г., 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25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по направлениям п.7 (ЭЗС, БПЛА, интерактивные панели, мебель, солнечная энергетика, ноутбуки).</w:t>
      </w:r>
    </w:p>
    <w:p w:rsidR="003E7C2F" w:rsidRPr="003E7C2F" w:rsidRDefault="003E7C2F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Коммерциализированные разработки: 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E7C2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8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по п.7.</w:t>
      </w:r>
    </w:p>
    <w:p w:rsidR="003E7C2F" w:rsidRPr="003E7C2F" w:rsidRDefault="006034A2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Привлечённые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инвестиции: не менее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2 млн USD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не менее 1 млн USD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– в проекты п.7.</w:t>
      </w:r>
    </w:p>
    <w:p w:rsidR="003E7C2F" w:rsidRPr="003E7C2F" w:rsidRDefault="003E7C2F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Международные </w:t>
      </w:r>
      <w:r w:rsidR="006034A2" w:rsidRPr="003E7C2F">
        <w:rPr>
          <w:rFonts w:ascii="Times New Roman" w:hAnsi="Times New Roman" w:cs="Times New Roman"/>
          <w:sz w:val="28"/>
          <w:szCs w:val="28"/>
        </w:rPr>
        <w:t>партнёрства</w:t>
      </w:r>
      <w:r w:rsidRPr="003E7C2F">
        <w:rPr>
          <w:rFonts w:ascii="Times New Roman" w:hAnsi="Times New Roman" w:cs="Times New Roman"/>
          <w:sz w:val="28"/>
          <w:szCs w:val="28"/>
        </w:rPr>
        <w:t xml:space="preserve">: 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E7C2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5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по ЭЗС/БПЛА/солнечной энергетике.</w:t>
      </w:r>
    </w:p>
    <w:p w:rsidR="003E7C2F" w:rsidRPr="003E7C2F" w:rsidRDefault="003E7C2F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Обученные специалисты: 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500</w:t>
      </w:r>
      <w:r w:rsidRPr="003E7C2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250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по направлениям п.7.</w:t>
      </w:r>
    </w:p>
    <w:p w:rsidR="003E7C2F" w:rsidRPr="003E7C2F" w:rsidRDefault="006034A2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Заключённые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соглашения с бизнесом: не менее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не менее 7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– по п.7.</w:t>
      </w:r>
    </w:p>
    <w:p w:rsidR="003E7C2F" w:rsidRPr="003E7C2F" w:rsidRDefault="003E7C2F" w:rsidP="003E7C2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Пилотные внедрения: 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E7C2F">
        <w:rPr>
          <w:rFonts w:ascii="Times New Roman" w:hAnsi="Times New Roman" w:cs="Times New Roman"/>
          <w:sz w:val="28"/>
          <w:szCs w:val="28"/>
        </w:rPr>
        <w:t xml:space="preserve"> (ЭЗС, дроны, интерактивные панели, солнечные системы).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Связка с пунктом 7 (обязательное требование):</w:t>
      </w:r>
    </w:p>
    <w:p w:rsidR="003E7C2F" w:rsidRPr="003E7C2F" w:rsidRDefault="003E7C2F" w:rsidP="003E7C2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Все ежегодные планы Технопарка должны включать минимум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 проекта по п.7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</w:p>
    <w:p w:rsidR="003E7C2F" w:rsidRPr="003E7C2F" w:rsidRDefault="003E7C2F" w:rsidP="003E7C2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40% годового портфеля проектов</w:t>
      </w:r>
      <w:r w:rsidRPr="003E7C2F">
        <w:rPr>
          <w:rFonts w:ascii="Times New Roman" w:hAnsi="Times New Roman" w:cs="Times New Roman"/>
          <w:sz w:val="28"/>
          <w:szCs w:val="28"/>
        </w:rPr>
        <w:t xml:space="preserve"> Технопарка должно относиться к направлениям п.7.</w:t>
      </w:r>
    </w:p>
    <w:p w:rsidR="003E7C2F" w:rsidRPr="003E7C2F" w:rsidRDefault="006034A2" w:rsidP="003E7C2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Отчётность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 по KPI формируется отдельно по общим показателям и </w:t>
      </w:r>
      <w:r w:rsidR="003E7C2F" w:rsidRPr="003E7C2F">
        <w:rPr>
          <w:rFonts w:ascii="Times New Roman" w:hAnsi="Times New Roman" w:cs="Times New Roman"/>
          <w:b/>
          <w:bCs/>
          <w:sz w:val="28"/>
          <w:szCs w:val="28"/>
        </w:rPr>
        <w:t>отдельно по направлениям п.7</w:t>
      </w:r>
      <w:r w:rsidR="003E7C2F" w:rsidRPr="003E7C2F">
        <w:rPr>
          <w:rFonts w:ascii="Times New Roman" w:hAnsi="Times New Roman" w:cs="Times New Roman"/>
          <w:sz w:val="28"/>
          <w:szCs w:val="28"/>
        </w:rPr>
        <w:t>.**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88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9. Дорожная карта (</w:t>
      </w:r>
      <w:proofErr w:type="spellStart"/>
      <w:r w:rsidRPr="003E7C2F">
        <w:rPr>
          <w:rFonts w:ascii="Times New Roman" w:hAnsi="Times New Roman" w:cs="Times New Roman"/>
          <w:b/>
          <w:bCs/>
          <w:sz w:val="28"/>
          <w:szCs w:val="28"/>
        </w:rPr>
        <w:t>Roadmap</w:t>
      </w:r>
      <w:proofErr w:type="spellEnd"/>
      <w:r w:rsidRPr="003E7C2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2026–2027 (Этап I – База)</w:t>
      </w:r>
    </w:p>
    <w:p w:rsidR="003E7C2F" w:rsidRPr="003E7C2F" w:rsidRDefault="003E7C2F" w:rsidP="003E7C2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t xml:space="preserve">Модернизация инфраструктуры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(лаборатории дронов, солнечной энергетики, линия сборки ноутбуков).</w:t>
      </w:r>
    </w:p>
    <w:p w:rsidR="003E7C2F" w:rsidRPr="003E7C2F" w:rsidRDefault="003E7C2F" w:rsidP="003E7C2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Запуск акселератора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с треками по п.7.</w:t>
      </w:r>
    </w:p>
    <w:p w:rsidR="003E7C2F" w:rsidRPr="003E7C2F" w:rsidRDefault="003E7C2F" w:rsidP="003E7C2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Создание TTO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с фокусом на п.7.</w:t>
      </w:r>
    </w:p>
    <w:p w:rsidR="003E7C2F" w:rsidRPr="003E7C2F" w:rsidRDefault="003E7C2F" w:rsidP="003E7C2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Заключение 5 </w:t>
      </w:r>
      <w:r w:rsidR="006034A2" w:rsidRPr="003E7C2F">
        <w:rPr>
          <w:rFonts w:ascii="Times New Roman" w:hAnsi="Times New Roman" w:cs="Times New Roman"/>
          <w:sz w:val="28"/>
          <w:szCs w:val="28"/>
        </w:rPr>
        <w:t>партнёрств</w:t>
      </w:r>
      <w:r w:rsidRPr="003E7C2F">
        <w:rPr>
          <w:rFonts w:ascii="Times New Roman" w:hAnsi="Times New Roman" w:cs="Times New Roman"/>
          <w:sz w:val="28"/>
          <w:szCs w:val="28"/>
        </w:rPr>
        <w:t xml:space="preserve">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(минимум 3 – по п.7).</w:t>
      </w:r>
    </w:p>
    <w:p w:rsidR="003E7C2F" w:rsidRPr="003E7C2F" w:rsidRDefault="003E7C2F" w:rsidP="003E7C2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Пилот: 1 ЭЗС + 1 солнечный объект + 1 интерактивная панель.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2028–2029 (Этап II – Рост)</w:t>
      </w:r>
    </w:p>
    <w:p w:rsidR="003E7C2F" w:rsidRPr="003E7C2F" w:rsidRDefault="003E7C2F" w:rsidP="003E7C2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Расширение лабораторий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и полигона БПЛА.</w:t>
      </w:r>
    </w:p>
    <w:p w:rsidR="003E7C2F" w:rsidRPr="003E7C2F" w:rsidRDefault="003E7C2F" w:rsidP="003E7C2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Привлечение грантов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034A2" w:rsidRPr="003E7C2F">
        <w:rPr>
          <w:rFonts w:ascii="Times New Roman" w:hAnsi="Times New Roman" w:cs="Times New Roman"/>
          <w:b/>
          <w:bCs/>
          <w:sz w:val="28"/>
          <w:szCs w:val="28"/>
        </w:rPr>
        <w:t>зелёной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 xml:space="preserve"> энергетике и БПЛА.</w:t>
      </w:r>
    </w:p>
    <w:p w:rsidR="003E7C2F" w:rsidRPr="003E7C2F" w:rsidRDefault="003E7C2F" w:rsidP="003E7C2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Увеличение числа стартапов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по направлениям п.7.</w:t>
      </w:r>
    </w:p>
    <w:p w:rsidR="003E7C2F" w:rsidRPr="003E7C2F" w:rsidRDefault="003E7C2F" w:rsidP="003E7C2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Масштабирование ЭЗС (не менее 3 объектов).</w:t>
      </w:r>
    </w:p>
    <w:p w:rsidR="003E7C2F" w:rsidRPr="003E7C2F" w:rsidRDefault="003E7C2F" w:rsidP="003E7C2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Серийное производство мебели для КГТУ.</w: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2030 (Этап III – Масштабирование)</w:t>
      </w:r>
    </w:p>
    <w:p w:rsidR="003E7C2F" w:rsidRPr="003E7C2F" w:rsidRDefault="003E7C2F" w:rsidP="003E7C2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Достижение целевых KPI.</w:t>
      </w:r>
    </w:p>
    <w:p w:rsidR="003E7C2F" w:rsidRPr="003E7C2F" w:rsidRDefault="003E7C2F" w:rsidP="003E7C2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Выход на региональный уровень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как центр ЭЗС, БПЛА и солнечной энергетики.</w:t>
      </w:r>
    </w:p>
    <w:p w:rsidR="003E7C2F" w:rsidRPr="003E7C2F" w:rsidRDefault="003E7C2F" w:rsidP="003E7C2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Устойчивое финансирование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через услуги и проекты п.7.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86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10. Детальный план мероприятий (по годам)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2026:</w:t>
      </w:r>
      <w:r w:rsidRPr="003E7C2F">
        <w:rPr>
          <w:rFonts w:ascii="Times New Roman" w:hAnsi="Times New Roman" w:cs="Times New Roman"/>
          <w:sz w:val="28"/>
          <w:szCs w:val="28"/>
        </w:rPr>
        <w:t xml:space="preserve"> Закупка оборудования; запуск коворкинга; первый набор акселератора; запуск лаборатории дронов; начало проекта ЭЗС.</w:t>
      </w:r>
      <w:r w:rsidRPr="003E7C2F">
        <w:rPr>
          <w:rFonts w:ascii="Times New Roman" w:hAnsi="Times New Roman" w:cs="Times New Roman"/>
          <w:sz w:val="28"/>
          <w:szCs w:val="28"/>
        </w:rPr>
        <w:br/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2027:</w:t>
      </w:r>
      <w:r w:rsidRPr="003E7C2F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FabLab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>; запуск TTO; первые патенты; пилот интерактивных панелей; сборка первых ноутбуков; пилот солнечной системы.</w:t>
      </w:r>
      <w:r w:rsidRPr="003E7C2F">
        <w:rPr>
          <w:rFonts w:ascii="Times New Roman" w:hAnsi="Times New Roman" w:cs="Times New Roman"/>
          <w:sz w:val="28"/>
          <w:szCs w:val="28"/>
        </w:rPr>
        <w:br/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2028:</w:t>
      </w:r>
      <w:r w:rsidRPr="003E7C2F">
        <w:rPr>
          <w:rFonts w:ascii="Times New Roman" w:hAnsi="Times New Roman" w:cs="Times New Roman"/>
          <w:sz w:val="28"/>
          <w:szCs w:val="28"/>
        </w:rPr>
        <w:t xml:space="preserve"> Международные гранты по БПЛА и </w:t>
      </w:r>
      <w:r w:rsidR="006034A2" w:rsidRPr="003E7C2F">
        <w:rPr>
          <w:rFonts w:ascii="Times New Roman" w:hAnsi="Times New Roman" w:cs="Times New Roman"/>
          <w:sz w:val="28"/>
          <w:szCs w:val="28"/>
        </w:rPr>
        <w:t>зелёной</w:t>
      </w:r>
      <w:r w:rsidRPr="003E7C2F">
        <w:rPr>
          <w:rFonts w:ascii="Times New Roman" w:hAnsi="Times New Roman" w:cs="Times New Roman"/>
          <w:sz w:val="28"/>
          <w:szCs w:val="28"/>
        </w:rPr>
        <w:t xml:space="preserve"> энергетике; расширение </w:t>
      </w:r>
      <w:r w:rsidR="006034A2" w:rsidRPr="003E7C2F">
        <w:rPr>
          <w:rFonts w:ascii="Times New Roman" w:hAnsi="Times New Roman" w:cs="Times New Roman"/>
          <w:sz w:val="28"/>
          <w:szCs w:val="28"/>
        </w:rPr>
        <w:t>партнёрств</w:t>
      </w:r>
      <w:r w:rsidRPr="003E7C2F">
        <w:rPr>
          <w:rFonts w:ascii="Times New Roman" w:hAnsi="Times New Roman" w:cs="Times New Roman"/>
          <w:sz w:val="28"/>
          <w:szCs w:val="28"/>
        </w:rPr>
        <w:t>; расширение полигона ЭЗС.</w:t>
      </w:r>
      <w:r w:rsidRPr="003E7C2F">
        <w:rPr>
          <w:rFonts w:ascii="Times New Roman" w:hAnsi="Times New Roman" w:cs="Times New Roman"/>
          <w:sz w:val="28"/>
          <w:szCs w:val="28"/>
        </w:rPr>
        <w:br/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2029:</w:t>
      </w:r>
      <w:r w:rsidRPr="003E7C2F">
        <w:rPr>
          <w:rFonts w:ascii="Times New Roman" w:hAnsi="Times New Roman" w:cs="Times New Roman"/>
          <w:sz w:val="28"/>
          <w:szCs w:val="28"/>
        </w:rPr>
        <w:t xml:space="preserve"> Масштабирование стартапов по п.7; серийное производство мебели; интеграция солнечных систем с ЭЗС.</w:t>
      </w:r>
      <w:r w:rsidRPr="003E7C2F">
        <w:rPr>
          <w:rFonts w:ascii="Times New Roman" w:hAnsi="Times New Roman" w:cs="Times New Roman"/>
          <w:sz w:val="28"/>
          <w:szCs w:val="28"/>
        </w:rPr>
        <w:br/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2030:</w:t>
      </w:r>
      <w:r w:rsidRPr="003E7C2F">
        <w:rPr>
          <w:rFonts w:ascii="Times New Roman" w:hAnsi="Times New Roman" w:cs="Times New Roman"/>
          <w:sz w:val="28"/>
          <w:szCs w:val="28"/>
        </w:rPr>
        <w:t xml:space="preserve"> Региональная интеграция; устойчивое финансирование; экспорт услуг/решений по п.7.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384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11. Бюджет (оценочный, 2026–2030)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Нормативное распределение (обязательная структура бюджета):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Инфраструктура и оборудование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1,2 млн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(в т.ч. лаборатории БПЛА и солнечной энергетики, полигон ЭЗС, </w:t>
      </w:r>
      <w:proofErr w:type="spellStart"/>
      <w:r w:rsidRPr="003E7C2F">
        <w:rPr>
          <w:rFonts w:ascii="Times New Roman" w:hAnsi="Times New Roman" w:cs="Times New Roman"/>
          <w:sz w:val="28"/>
          <w:szCs w:val="28"/>
        </w:rPr>
        <w:t>FabLab</w:t>
      </w:r>
      <w:proofErr w:type="spellEnd"/>
      <w:r w:rsidRPr="003E7C2F">
        <w:rPr>
          <w:rFonts w:ascii="Times New Roman" w:hAnsi="Times New Roman" w:cs="Times New Roman"/>
          <w:sz w:val="28"/>
          <w:szCs w:val="28"/>
        </w:rPr>
        <w:t>).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Акселерационные программы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300 тыс.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(из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150 тыс.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треки по п.7).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Научные проекты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400 тыс.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(из них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не менее 250 тыс.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– проекты по п.7).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Международные программы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200 тыс. USD</w:t>
      </w:r>
      <w:r w:rsidRPr="003E7C2F">
        <w:rPr>
          <w:rFonts w:ascii="Times New Roman" w:hAnsi="Times New Roman" w:cs="Times New Roman"/>
          <w:sz w:val="28"/>
          <w:szCs w:val="28"/>
        </w:rPr>
        <w:t xml:space="preserve"> (приоритет: ЭЗС/БПЛА/солнечная энергетика).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Производственные направления (ноутбуки, мебель)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300 тыс. USD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</w:p>
    <w:p w:rsidR="003E7C2F" w:rsidRPr="003E7C2F" w:rsidRDefault="003E7C2F" w:rsidP="003E7C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Операционные расходы –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500 тыс. USD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  <w:r w:rsidRPr="003E7C2F">
        <w:rPr>
          <w:rFonts w:ascii="Times New Roman" w:hAnsi="Times New Roman" w:cs="Times New Roman"/>
          <w:sz w:val="28"/>
          <w:szCs w:val="28"/>
        </w:rPr>
        <w:br/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Итого:</w:t>
      </w:r>
      <w:r w:rsidRPr="003E7C2F">
        <w:rPr>
          <w:rFonts w:ascii="Times New Roman" w:hAnsi="Times New Roman" w:cs="Times New Roman"/>
          <w:sz w:val="28"/>
          <w:szCs w:val="28"/>
        </w:rPr>
        <w:t xml:space="preserve"> ~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2,9 млн USD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Обязательные бюджетные требования (связка с п.7):</w:t>
      </w:r>
    </w:p>
    <w:p w:rsidR="003E7C2F" w:rsidRPr="003E7C2F" w:rsidRDefault="003E7C2F" w:rsidP="003E7C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50% инвестиционных расходов</w:t>
      </w:r>
      <w:r w:rsidRPr="003E7C2F">
        <w:rPr>
          <w:rFonts w:ascii="Times New Roman" w:hAnsi="Times New Roman" w:cs="Times New Roman"/>
          <w:sz w:val="28"/>
          <w:szCs w:val="28"/>
        </w:rPr>
        <w:t xml:space="preserve"> должно быть направлено на проекты п.7.</w:t>
      </w:r>
    </w:p>
    <w:p w:rsidR="003E7C2F" w:rsidRPr="003E7C2F" w:rsidRDefault="003E7C2F" w:rsidP="003E7C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Ежегодно формируется отдельная строка бюджета: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"Развитие направлений п.7"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</w:p>
    <w:p w:rsidR="003E7C2F" w:rsidRPr="003E7C2F" w:rsidRDefault="003E7C2F" w:rsidP="003E7C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Все крупные закупки оборудования должны оцениваться на предмет их использования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минимум в одном направлении п.7</w:t>
      </w:r>
      <w:r w:rsidRPr="003E7C2F">
        <w:rPr>
          <w:rFonts w:ascii="Times New Roman" w:hAnsi="Times New Roman" w:cs="Times New Roman"/>
          <w:sz w:val="28"/>
          <w:szCs w:val="28"/>
        </w:rPr>
        <w:t>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3E7C2F" w:rsidRPr="003E7C2F" w:rsidRDefault="003E7C2F" w:rsidP="003E7C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Бюджет КГТУ.</w:t>
      </w:r>
    </w:p>
    <w:p w:rsidR="003E7C2F" w:rsidRPr="003E7C2F" w:rsidRDefault="003E7C2F" w:rsidP="003E7C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Гранты и доноры.</w:t>
      </w:r>
    </w:p>
    <w:p w:rsidR="003E7C2F" w:rsidRPr="003E7C2F" w:rsidRDefault="003E7C2F" w:rsidP="003E7C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Частные инвестиции.</w:t>
      </w:r>
    </w:p>
    <w:p w:rsidR="003E7C2F" w:rsidRPr="003E7C2F" w:rsidRDefault="003E7C2F" w:rsidP="003E7C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Платные услуги Технопарка (ЭЗС, испытания БПЛА, прототипирование, мебель, обучение).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08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12. Механизмы управления и контроля</w:t>
      </w:r>
    </w:p>
    <w:p w:rsidR="003E7C2F" w:rsidRPr="003E7C2F" w:rsidRDefault="003E7C2F" w:rsidP="003E7C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6034A2" w:rsidRPr="003E7C2F">
        <w:rPr>
          <w:rFonts w:ascii="Times New Roman" w:hAnsi="Times New Roman" w:cs="Times New Roman"/>
          <w:sz w:val="28"/>
          <w:szCs w:val="28"/>
        </w:rPr>
        <w:t>отчёт</w:t>
      </w:r>
      <w:r w:rsidRPr="003E7C2F">
        <w:rPr>
          <w:rFonts w:ascii="Times New Roman" w:hAnsi="Times New Roman" w:cs="Times New Roman"/>
          <w:sz w:val="28"/>
          <w:szCs w:val="28"/>
        </w:rPr>
        <w:t xml:space="preserve"> Директора Технопарка.</w:t>
      </w:r>
    </w:p>
    <w:p w:rsidR="003E7C2F" w:rsidRPr="003E7C2F" w:rsidRDefault="003E7C2F" w:rsidP="003E7C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Квартальный мониторинг KPI.</w:t>
      </w:r>
    </w:p>
    <w:p w:rsidR="003E7C2F" w:rsidRPr="003E7C2F" w:rsidRDefault="003E7C2F" w:rsidP="003E7C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Внешний аудит раз в 2 года.</w:t>
      </w:r>
    </w:p>
    <w:p w:rsidR="003E7C2F" w:rsidRPr="003E7C2F" w:rsidRDefault="003E7C2F" w:rsidP="003E7C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Корректировка стратегии по необходимости.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10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 Заключительные положения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Реализация настоящего Стратегического плана обеспечит устойчивое развитие Технопарка КГТУ им. И. Раззакова, усилит его роль в инновационной системе страны и будет способствовать экономическому развитию Кыргызской Республики.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06" style="width:0;height:1.5pt" o:hralign="center" o:hrstd="t" o:hr="t" fillcolor="#a0a0a0" stroked="f"/>
        </w:pict>
      </w:r>
    </w:p>
    <w:p w:rsidR="003E7C2F" w:rsidRPr="003E7C2F" w:rsidRDefault="003E7C2F" w:rsidP="003E7C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14. Проект решения (для утверждения)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b/>
          <w:bCs/>
          <w:sz w:val="28"/>
          <w:szCs w:val="28"/>
        </w:rPr>
        <w:t>Проект решения Учёного совета КГТУ им. И. Раззакова</w:t>
      </w:r>
    </w:p>
    <w:p w:rsidR="003E7C2F" w:rsidRPr="003E7C2F" w:rsidRDefault="003E7C2F" w:rsidP="003E7C2F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Утвердить Стратегический план Учреждения «Технопарк КГТУ им. И. Раззакова» на 2026–2030 годы.</w:t>
      </w:r>
    </w:p>
    <w:p w:rsidR="003E7C2F" w:rsidRPr="003E7C2F" w:rsidRDefault="003E7C2F" w:rsidP="003E7C2F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Определить направления п.7 (ЭЗС, БПЛА, интерактивные панели, мебель, солнечная энергетика, ноутбуки) как </w:t>
      </w:r>
      <w:r w:rsidRPr="003E7C2F">
        <w:rPr>
          <w:rFonts w:ascii="Times New Roman" w:hAnsi="Times New Roman" w:cs="Times New Roman"/>
          <w:b/>
          <w:bCs/>
          <w:sz w:val="28"/>
          <w:szCs w:val="28"/>
        </w:rPr>
        <w:t>приоритетные и сквозные</w:t>
      </w:r>
      <w:r w:rsidRPr="003E7C2F">
        <w:rPr>
          <w:rFonts w:ascii="Times New Roman" w:hAnsi="Times New Roman" w:cs="Times New Roman"/>
          <w:sz w:val="28"/>
          <w:szCs w:val="28"/>
        </w:rPr>
        <w:t xml:space="preserve"> для всей деятельности Технопарка.</w:t>
      </w:r>
    </w:p>
    <w:p w:rsidR="003E7C2F" w:rsidRPr="003E7C2F" w:rsidRDefault="003E7C2F" w:rsidP="003E7C2F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Обязать Директора Технопарка:</w:t>
      </w:r>
    </w:p>
    <w:p w:rsidR="003E7C2F" w:rsidRPr="003E7C2F" w:rsidRDefault="003E7C2F" w:rsidP="003E7C2F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обеспечивать выполнение KPI с раздельной </w:t>
      </w:r>
      <w:r w:rsidR="006034A2" w:rsidRPr="003E7C2F">
        <w:rPr>
          <w:rFonts w:ascii="Times New Roman" w:hAnsi="Times New Roman" w:cs="Times New Roman"/>
          <w:sz w:val="28"/>
          <w:szCs w:val="28"/>
        </w:rPr>
        <w:t>отчётностью</w:t>
      </w:r>
      <w:r w:rsidRPr="003E7C2F">
        <w:rPr>
          <w:rFonts w:ascii="Times New Roman" w:hAnsi="Times New Roman" w:cs="Times New Roman"/>
          <w:sz w:val="28"/>
          <w:szCs w:val="28"/>
        </w:rPr>
        <w:t xml:space="preserve"> по направлениям п.7;</w:t>
      </w:r>
    </w:p>
    <w:p w:rsidR="003E7C2F" w:rsidRPr="003E7C2F" w:rsidRDefault="003E7C2F" w:rsidP="003E7C2F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формировать ежегодный бюджет с отдельной строкой «Развитие направлений п.7»;</w:t>
      </w:r>
    </w:p>
    <w:p w:rsidR="003E7C2F" w:rsidRPr="003E7C2F" w:rsidRDefault="003E7C2F" w:rsidP="003E7C2F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 xml:space="preserve">представлять ежегодный </w:t>
      </w:r>
      <w:r w:rsidR="006034A2" w:rsidRPr="003E7C2F">
        <w:rPr>
          <w:rFonts w:ascii="Times New Roman" w:hAnsi="Times New Roman" w:cs="Times New Roman"/>
          <w:sz w:val="28"/>
          <w:szCs w:val="28"/>
        </w:rPr>
        <w:t>отчёт</w:t>
      </w:r>
      <w:r w:rsidRPr="003E7C2F">
        <w:rPr>
          <w:rFonts w:ascii="Times New Roman" w:hAnsi="Times New Roman" w:cs="Times New Roman"/>
          <w:sz w:val="28"/>
          <w:szCs w:val="28"/>
        </w:rPr>
        <w:t xml:space="preserve"> Учёному совету.</w:t>
      </w:r>
    </w:p>
    <w:p w:rsidR="003E7C2F" w:rsidRPr="003E7C2F" w:rsidRDefault="003E7C2F" w:rsidP="003E7C2F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Рекомендовать Ректору КГТУ предусмотреть в бюджете университета софинансирование ключевых проектов Технопарка по направлениям п.7.</w:t>
      </w:r>
    </w:p>
    <w:p w:rsidR="003E7C2F" w:rsidRPr="003E7C2F" w:rsidRDefault="003E7C2F" w:rsidP="003E7C2F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t>Контроль исполнения возложить на Проректора по науке и инновациям.</w:t>
      </w:r>
    </w:p>
    <w:p w:rsidR="003E7C2F" w:rsidRPr="003E7C2F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pict>
          <v:rect id="_x0000_i1404" style="width:0;height:1.5pt" o:hralign="center" o:hrstd="t" o:hr="t" fillcolor="#a0a0a0" stroked="f"/>
        </w:pict>
      </w:r>
    </w:p>
    <w:p w:rsidR="00B5207B" w:rsidRDefault="003E7C2F" w:rsidP="003E7C2F">
      <w:pPr>
        <w:rPr>
          <w:rFonts w:ascii="Times New Roman" w:hAnsi="Times New Roman" w:cs="Times New Roman"/>
          <w:sz w:val="28"/>
          <w:szCs w:val="28"/>
        </w:rPr>
      </w:pPr>
      <w:r w:rsidRPr="003E7C2F">
        <w:rPr>
          <w:rFonts w:ascii="Times New Roman" w:hAnsi="Times New Roman" w:cs="Times New Roman"/>
          <w:sz w:val="28"/>
          <w:szCs w:val="28"/>
        </w:rPr>
        <w:br/>
        <w:t xml:space="preserve">Директор </w:t>
      </w:r>
      <w:r w:rsidR="00B5207B" w:rsidRPr="003E7C2F">
        <w:rPr>
          <w:rFonts w:ascii="Times New Roman" w:hAnsi="Times New Roman" w:cs="Times New Roman"/>
          <w:sz w:val="28"/>
          <w:szCs w:val="28"/>
        </w:rPr>
        <w:t>Учреждения</w:t>
      </w:r>
      <w:r w:rsidR="00B5207B" w:rsidRPr="003E7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C2F" w:rsidRPr="003E7C2F" w:rsidRDefault="00B5207B" w:rsidP="003E7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7C2F" w:rsidRPr="003E7C2F">
        <w:rPr>
          <w:rFonts w:ascii="Times New Roman" w:hAnsi="Times New Roman" w:cs="Times New Roman"/>
          <w:sz w:val="28"/>
          <w:szCs w:val="28"/>
        </w:rPr>
        <w:t xml:space="preserve">Технопарка КГТУ им. И. </w:t>
      </w:r>
      <w:proofErr w:type="gramStart"/>
      <w:r w:rsidR="003E7C2F" w:rsidRPr="003E7C2F">
        <w:rPr>
          <w:rFonts w:ascii="Times New Roman" w:hAnsi="Times New Roman" w:cs="Times New Roman"/>
          <w:sz w:val="28"/>
          <w:szCs w:val="28"/>
        </w:rPr>
        <w:t>Раззакова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Асылбеков К.Р.</w:t>
      </w:r>
    </w:p>
    <w:p w:rsidR="00C64392" w:rsidRPr="003E7C2F" w:rsidRDefault="00C64392">
      <w:pPr>
        <w:rPr>
          <w:rFonts w:ascii="Times New Roman" w:hAnsi="Times New Roman" w:cs="Times New Roman"/>
          <w:sz w:val="28"/>
          <w:szCs w:val="28"/>
        </w:rPr>
      </w:pPr>
    </w:p>
    <w:sectPr w:rsidR="00C64392" w:rsidRPr="003E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33C" w:rsidRDefault="009B633C" w:rsidP="00B5207B">
      <w:pPr>
        <w:spacing w:after="0" w:line="240" w:lineRule="auto"/>
      </w:pPr>
      <w:r>
        <w:separator/>
      </w:r>
    </w:p>
  </w:endnote>
  <w:endnote w:type="continuationSeparator" w:id="0">
    <w:p w:rsidR="009B633C" w:rsidRDefault="009B633C" w:rsidP="00B5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33C" w:rsidRDefault="009B633C" w:rsidP="00B5207B">
      <w:pPr>
        <w:spacing w:after="0" w:line="240" w:lineRule="auto"/>
      </w:pPr>
      <w:r>
        <w:separator/>
      </w:r>
    </w:p>
  </w:footnote>
  <w:footnote w:type="continuationSeparator" w:id="0">
    <w:p w:rsidR="009B633C" w:rsidRDefault="009B633C" w:rsidP="00B5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0A0"/>
    <w:multiLevelType w:val="multilevel"/>
    <w:tmpl w:val="EE8A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267B"/>
    <w:multiLevelType w:val="multilevel"/>
    <w:tmpl w:val="F13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17DCC"/>
    <w:multiLevelType w:val="multilevel"/>
    <w:tmpl w:val="A85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45CAB"/>
    <w:multiLevelType w:val="multilevel"/>
    <w:tmpl w:val="967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6756D"/>
    <w:multiLevelType w:val="multilevel"/>
    <w:tmpl w:val="5AC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B7819"/>
    <w:multiLevelType w:val="multilevel"/>
    <w:tmpl w:val="4A24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27CBC"/>
    <w:multiLevelType w:val="multilevel"/>
    <w:tmpl w:val="12D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179E3"/>
    <w:multiLevelType w:val="multilevel"/>
    <w:tmpl w:val="732A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7036F"/>
    <w:multiLevelType w:val="multilevel"/>
    <w:tmpl w:val="DFF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15083"/>
    <w:multiLevelType w:val="multilevel"/>
    <w:tmpl w:val="E41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568CF"/>
    <w:multiLevelType w:val="multilevel"/>
    <w:tmpl w:val="2F5E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90F5B"/>
    <w:multiLevelType w:val="multilevel"/>
    <w:tmpl w:val="B2C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639B1"/>
    <w:multiLevelType w:val="multilevel"/>
    <w:tmpl w:val="02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60429"/>
    <w:multiLevelType w:val="multilevel"/>
    <w:tmpl w:val="B42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83B73"/>
    <w:multiLevelType w:val="multilevel"/>
    <w:tmpl w:val="B4B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F2D66"/>
    <w:multiLevelType w:val="multilevel"/>
    <w:tmpl w:val="B53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C46D7"/>
    <w:multiLevelType w:val="multilevel"/>
    <w:tmpl w:val="F35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472DD"/>
    <w:multiLevelType w:val="multilevel"/>
    <w:tmpl w:val="D496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E5FA2"/>
    <w:multiLevelType w:val="multilevel"/>
    <w:tmpl w:val="3CF6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C1DC0"/>
    <w:multiLevelType w:val="multilevel"/>
    <w:tmpl w:val="F5E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21A73"/>
    <w:multiLevelType w:val="multilevel"/>
    <w:tmpl w:val="D4D8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B3A99"/>
    <w:multiLevelType w:val="multilevel"/>
    <w:tmpl w:val="A41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03E00"/>
    <w:multiLevelType w:val="multilevel"/>
    <w:tmpl w:val="A88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1E0CBF"/>
    <w:multiLevelType w:val="multilevel"/>
    <w:tmpl w:val="5F0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5282E"/>
    <w:multiLevelType w:val="multilevel"/>
    <w:tmpl w:val="470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606FA"/>
    <w:multiLevelType w:val="multilevel"/>
    <w:tmpl w:val="AD4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61498"/>
    <w:multiLevelType w:val="multilevel"/>
    <w:tmpl w:val="887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952B4"/>
    <w:multiLevelType w:val="multilevel"/>
    <w:tmpl w:val="09F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83361"/>
    <w:multiLevelType w:val="multilevel"/>
    <w:tmpl w:val="77CA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D1FD9"/>
    <w:multiLevelType w:val="multilevel"/>
    <w:tmpl w:val="FEB4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701447">
    <w:abstractNumId w:val="5"/>
  </w:num>
  <w:num w:numId="2" w16cid:durableId="1224023650">
    <w:abstractNumId w:val="29"/>
  </w:num>
  <w:num w:numId="3" w16cid:durableId="179978683">
    <w:abstractNumId w:val="13"/>
  </w:num>
  <w:num w:numId="4" w16cid:durableId="2088919295">
    <w:abstractNumId w:val="23"/>
  </w:num>
  <w:num w:numId="5" w16cid:durableId="1982877491">
    <w:abstractNumId w:val="12"/>
  </w:num>
  <w:num w:numId="6" w16cid:durableId="988898321">
    <w:abstractNumId w:val="3"/>
  </w:num>
  <w:num w:numId="7" w16cid:durableId="699668555">
    <w:abstractNumId w:val="8"/>
  </w:num>
  <w:num w:numId="8" w16cid:durableId="590158978">
    <w:abstractNumId w:val="6"/>
  </w:num>
  <w:num w:numId="9" w16cid:durableId="457644936">
    <w:abstractNumId w:val="20"/>
  </w:num>
  <w:num w:numId="10" w16cid:durableId="1010982863">
    <w:abstractNumId w:val="18"/>
  </w:num>
  <w:num w:numId="11" w16cid:durableId="1426462607">
    <w:abstractNumId w:val="16"/>
  </w:num>
  <w:num w:numId="12" w16cid:durableId="1711492787">
    <w:abstractNumId w:val="28"/>
  </w:num>
  <w:num w:numId="13" w16cid:durableId="396705390">
    <w:abstractNumId w:val="17"/>
  </w:num>
  <w:num w:numId="14" w16cid:durableId="588854348">
    <w:abstractNumId w:val="9"/>
  </w:num>
  <w:num w:numId="15" w16cid:durableId="1421827475">
    <w:abstractNumId w:val="24"/>
  </w:num>
  <w:num w:numId="16" w16cid:durableId="417408698">
    <w:abstractNumId w:val="1"/>
  </w:num>
  <w:num w:numId="17" w16cid:durableId="711341789">
    <w:abstractNumId w:val="21"/>
  </w:num>
  <w:num w:numId="18" w16cid:durableId="799226319">
    <w:abstractNumId w:val="25"/>
  </w:num>
  <w:num w:numId="19" w16cid:durableId="1731419704">
    <w:abstractNumId w:val="19"/>
  </w:num>
  <w:num w:numId="20" w16cid:durableId="2064451123">
    <w:abstractNumId w:val="10"/>
  </w:num>
  <w:num w:numId="21" w16cid:durableId="986544832">
    <w:abstractNumId w:val="4"/>
  </w:num>
  <w:num w:numId="22" w16cid:durableId="1004286997">
    <w:abstractNumId w:val="15"/>
  </w:num>
  <w:num w:numId="23" w16cid:durableId="18746097">
    <w:abstractNumId w:val="14"/>
  </w:num>
  <w:num w:numId="24" w16cid:durableId="1865973469">
    <w:abstractNumId w:val="22"/>
  </w:num>
  <w:num w:numId="25" w16cid:durableId="1201210590">
    <w:abstractNumId w:val="11"/>
  </w:num>
  <w:num w:numId="26" w16cid:durableId="1761176496">
    <w:abstractNumId w:val="26"/>
  </w:num>
  <w:num w:numId="27" w16cid:durableId="1680430895">
    <w:abstractNumId w:val="2"/>
  </w:num>
  <w:num w:numId="28" w16cid:durableId="12002103">
    <w:abstractNumId w:val="27"/>
  </w:num>
  <w:num w:numId="29" w16cid:durableId="1211112419">
    <w:abstractNumId w:val="7"/>
  </w:num>
  <w:num w:numId="30" w16cid:durableId="178082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2F"/>
    <w:rsid w:val="000D0AB1"/>
    <w:rsid w:val="001B7639"/>
    <w:rsid w:val="003E7C2F"/>
    <w:rsid w:val="006034A2"/>
    <w:rsid w:val="00796046"/>
    <w:rsid w:val="00840447"/>
    <w:rsid w:val="009B633C"/>
    <w:rsid w:val="00A632B5"/>
    <w:rsid w:val="00B26894"/>
    <w:rsid w:val="00B5207B"/>
    <w:rsid w:val="00C64392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EFA8"/>
  <w15:chartTrackingRefBased/>
  <w15:docId w15:val="{04BC69C5-E7AC-4167-979A-C431C019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894"/>
  </w:style>
  <w:style w:type="paragraph" w:styleId="1">
    <w:name w:val="heading 1"/>
    <w:basedOn w:val="a"/>
    <w:next w:val="a"/>
    <w:link w:val="10"/>
    <w:uiPriority w:val="9"/>
    <w:qFormat/>
    <w:rsid w:val="003E7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E7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E7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C2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1B7639"/>
    <w:rPr>
      <w:b/>
      <w:bCs/>
    </w:rPr>
  </w:style>
  <w:style w:type="paragraph" w:styleId="ad">
    <w:name w:val="Normal (Web)"/>
    <w:basedOn w:val="a"/>
    <w:uiPriority w:val="99"/>
    <w:semiHidden/>
    <w:unhideWhenUsed/>
    <w:rsid w:val="001B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B5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207B"/>
  </w:style>
  <w:style w:type="paragraph" w:styleId="af0">
    <w:name w:val="footer"/>
    <w:basedOn w:val="a"/>
    <w:link w:val="af1"/>
    <w:uiPriority w:val="99"/>
    <w:unhideWhenUsed/>
    <w:rsid w:val="00B5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2026-01-20T06:11:00Z</dcterms:created>
  <dcterms:modified xsi:type="dcterms:W3CDTF">2026-01-20T07:57:00Z</dcterms:modified>
</cp:coreProperties>
</file>