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E87" w:rsidRPr="00EB317E" w:rsidRDefault="00643E87" w:rsidP="00643E87">
      <w:pPr>
        <w:jc w:val="both"/>
        <w:rPr>
          <w:rFonts w:ascii="Times New Roman" w:hAnsi="Times New Roman" w:cs="Times New Roman"/>
          <w:b/>
          <w:bCs/>
          <w:sz w:val="24"/>
          <w:szCs w:val="24"/>
          <w:lang w:val="en-US"/>
        </w:rPr>
      </w:pPr>
      <w:r w:rsidRPr="00EB317E">
        <w:rPr>
          <w:rFonts w:ascii="Times New Roman" w:hAnsi="Times New Roman" w:cs="Times New Roman"/>
          <w:b/>
          <w:bCs/>
          <w:sz w:val="24"/>
          <w:szCs w:val="24"/>
          <w:lang w:val="en-US"/>
        </w:rPr>
        <w:t>Entwicklungsstrategie und deren Umsetzung</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Im Kontext der Entwicklung moderner Technologien gewinnt die sprachliche Ausbildung von hochqualifizierten Fachkräften – insbesondere Ingenieuren </w:t>
      </w:r>
      <w:proofErr w:type="gramStart"/>
      <w:r w:rsidRPr="00EB317E">
        <w:rPr>
          <w:rFonts w:ascii="Times New Roman" w:hAnsi="Times New Roman" w:cs="Times New Roman"/>
          <w:sz w:val="24"/>
          <w:szCs w:val="24"/>
          <w:lang w:val="en-US"/>
        </w:rPr>
        <w:t>an</w:t>
      </w:r>
      <w:proofErr w:type="gramEnd"/>
      <w:r w:rsidRPr="00EB317E">
        <w:rPr>
          <w:rFonts w:ascii="Times New Roman" w:hAnsi="Times New Roman" w:cs="Times New Roman"/>
          <w:sz w:val="24"/>
          <w:szCs w:val="24"/>
          <w:lang w:val="en-US"/>
        </w:rPr>
        <w:t xml:space="preserve"> technischen Universitäten, die den technischen Fortschritt fördern und beschleunigen sollen – zunehmend an Bedeutung. Heutzutage verstehen wir den Fremdsprachenunterricht </w:t>
      </w:r>
      <w:proofErr w:type="gramStart"/>
      <w:r w:rsidRPr="00EB317E">
        <w:rPr>
          <w:rFonts w:ascii="Times New Roman" w:hAnsi="Times New Roman" w:cs="Times New Roman"/>
          <w:sz w:val="24"/>
          <w:szCs w:val="24"/>
          <w:lang w:val="en-US"/>
        </w:rPr>
        <w:t>als</w:t>
      </w:r>
      <w:proofErr w:type="gramEnd"/>
      <w:r w:rsidRPr="00EB317E">
        <w:rPr>
          <w:rFonts w:ascii="Times New Roman" w:hAnsi="Times New Roman" w:cs="Times New Roman"/>
          <w:sz w:val="24"/>
          <w:szCs w:val="24"/>
          <w:lang w:val="en-US"/>
        </w:rPr>
        <w:t xml:space="preserve"> Mittel der Kommunikation zwischen Fachleuten verschiedener Länder nicht mehr nur als rein anwendungsbezogene Aufgabe der Fachsprachenausbildung. Der moderne universitäre Spezialist </w:t>
      </w:r>
      <w:proofErr w:type="gramStart"/>
      <w:r w:rsidRPr="00EB317E">
        <w:rPr>
          <w:rFonts w:ascii="Times New Roman" w:hAnsi="Times New Roman" w:cs="Times New Roman"/>
          <w:sz w:val="24"/>
          <w:szCs w:val="24"/>
          <w:lang w:val="en-US"/>
        </w:rPr>
        <w:t>ist</w:t>
      </w:r>
      <w:proofErr w:type="gramEnd"/>
      <w:r w:rsidRPr="00EB317E">
        <w:rPr>
          <w:rFonts w:ascii="Times New Roman" w:hAnsi="Times New Roman" w:cs="Times New Roman"/>
          <w:sz w:val="24"/>
          <w:szCs w:val="24"/>
          <w:lang w:val="en-US"/>
        </w:rPr>
        <w:t xml:space="preserve"> ein breit gebildeter Mensch mit fundierter Ausbildung. Demzufolge </w:t>
      </w:r>
      <w:proofErr w:type="gramStart"/>
      <w:r w:rsidRPr="00EB317E">
        <w:rPr>
          <w:rFonts w:ascii="Times New Roman" w:hAnsi="Times New Roman" w:cs="Times New Roman"/>
          <w:sz w:val="24"/>
          <w:szCs w:val="24"/>
          <w:lang w:val="en-US"/>
        </w:rPr>
        <w:t>ist</w:t>
      </w:r>
      <w:proofErr w:type="gramEnd"/>
      <w:r w:rsidRPr="00EB317E">
        <w:rPr>
          <w:rFonts w:ascii="Times New Roman" w:hAnsi="Times New Roman" w:cs="Times New Roman"/>
          <w:sz w:val="24"/>
          <w:szCs w:val="24"/>
          <w:lang w:val="en-US"/>
        </w:rPr>
        <w:t xml:space="preserve"> die Fremdsprache für einen solchen Spezialisten sowohl ein Produktionsmittel, ein Teil der Kultur als auch ein Instrument zur Humanisierung der Bildung.</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Die Entwicklungsstrategie des Zentrums für Deutsche Sprache (ZDS) basiert auf dem Konzept der sprachlichen Bildung </w:t>
      </w:r>
      <w:proofErr w:type="gramStart"/>
      <w:r w:rsidRPr="00EB317E">
        <w:rPr>
          <w:rFonts w:ascii="Times New Roman" w:hAnsi="Times New Roman" w:cs="Times New Roman"/>
          <w:sz w:val="24"/>
          <w:szCs w:val="24"/>
          <w:lang w:val="en-US"/>
        </w:rPr>
        <w:t>an</w:t>
      </w:r>
      <w:proofErr w:type="gramEnd"/>
      <w:r w:rsidRPr="00EB317E">
        <w:rPr>
          <w:rFonts w:ascii="Times New Roman" w:hAnsi="Times New Roman" w:cs="Times New Roman"/>
          <w:sz w:val="24"/>
          <w:szCs w:val="24"/>
          <w:lang w:val="en-US"/>
        </w:rPr>
        <w:t xml:space="preserve"> nicht-sprachlichen Hochschulen, das folgenden Grundsätzen folgt:</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Die Entwicklung und Förderung der berufsorientierten Fremdsprachenkompetenz von Absolventen technischer Universitäten </w:t>
      </w:r>
      <w:proofErr w:type="gramStart"/>
      <w:r w:rsidRPr="00EB317E">
        <w:rPr>
          <w:rFonts w:ascii="Times New Roman" w:hAnsi="Times New Roman" w:cs="Times New Roman"/>
          <w:sz w:val="24"/>
          <w:szCs w:val="24"/>
          <w:lang w:val="en-US"/>
        </w:rPr>
        <w:t>ist</w:t>
      </w:r>
      <w:proofErr w:type="gramEnd"/>
      <w:r w:rsidRPr="00EB317E">
        <w:rPr>
          <w:rFonts w:ascii="Times New Roman" w:hAnsi="Times New Roman" w:cs="Times New Roman"/>
          <w:sz w:val="24"/>
          <w:szCs w:val="24"/>
          <w:lang w:val="en-US"/>
        </w:rPr>
        <w:t xml:space="preserve"> kein Selbstzweck. Sie dient der Umsetzung sowohl der traditionellen Prinzipien universitären Bildung (Fundamentalität, Systematik und Systematik, Verbindung von theoretischer und praktischer Ausbildung) </w:t>
      </w:r>
      <w:proofErr w:type="gramStart"/>
      <w:r w:rsidRPr="00EB317E">
        <w:rPr>
          <w:rFonts w:ascii="Times New Roman" w:hAnsi="Times New Roman" w:cs="Times New Roman"/>
          <w:sz w:val="24"/>
          <w:szCs w:val="24"/>
          <w:lang w:val="en-US"/>
        </w:rPr>
        <w:t>als</w:t>
      </w:r>
      <w:proofErr w:type="gramEnd"/>
      <w:r w:rsidRPr="00EB317E">
        <w:rPr>
          <w:rFonts w:ascii="Times New Roman" w:hAnsi="Times New Roman" w:cs="Times New Roman"/>
          <w:sz w:val="24"/>
          <w:szCs w:val="24"/>
          <w:lang w:val="en-US"/>
        </w:rPr>
        <w:t xml:space="preserve"> auch innovativer Bildungsprogramme, Technologien, Organisationsformen und Methoden des Bildungsprozesses.</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Eine vertiefte sprachliche Ausbildung in den Fachrichtungen der KGTI sowie die Entwicklung berufsorientierter Kommunikationsfähigkeiten in deutscher Sprache bilden die pragmatische Kompetenz. Pragmatistische Kompetenz bedeutet die Fähigkeit, Sprachmittel für bestimmte funktionale Zwecke gemäß beruflicher Interaktionsschemata einzusetzen.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Die Förderung interkultureller Kompetenz umfasst die Entwicklung spezieller Kenntnisse, Fähigkeiten, Fertigkeiten, beruflicher Motivation, Kompetenzen und persönlicher Einstellungen, die es dem Spezialisten ermöglichen, erfolgreich mit Partnern aus anderen Kulturen im professionellen Kontext zusammenzuarbeiten.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Ziel des Entwicklungskonzepts des ZDS </w:t>
      </w:r>
      <w:proofErr w:type="gramStart"/>
      <w:r w:rsidRPr="00EB317E">
        <w:rPr>
          <w:rFonts w:ascii="Times New Roman" w:hAnsi="Times New Roman" w:cs="Times New Roman"/>
          <w:sz w:val="24"/>
          <w:szCs w:val="24"/>
          <w:lang w:val="en-US"/>
        </w:rPr>
        <w:t>ist</w:t>
      </w:r>
      <w:proofErr w:type="gramEnd"/>
      <w:r w:rsidRPr="00EB317E">
        <w:rPr>
          <w:rFonts w:ascii="Times New Roman" w:hAnsi="Times New Roman" w:cs="Times New Roman"/>
          <w:sz w:val="24"/>
          <w:szCs w:val="24"/>
          <w:lang w:val="en-US"/>
        </w:rPr>
        <w:t xml:space="preserve"> die Festlegung einer Handlungsstrategie zur Lösung folgender Aufgaben: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Entwicklung allgemeiner organisatorischer Richtungen der Abteilungsarbeit;</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Verbesserung des personellen Potenzials;</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Ausbau organisatorischer, wissenschaftlicher und methodischer Formen der Bildungsaktivitäten;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Bereitstellung zusätzlicher Bedingungen für die sprachliche Ausbildung der Studierenden;</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Sicherstellung der Ausbildung hochqualifizierter technischer Fachkräfte mit Deutschkenntnissen.</w:t>
      </w:r>
      <w:proofErr w:type="gramEnd"/>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Die Umsetzung dieser Ziele und Aufgaben basiert auf folgenden Grundprinzipien: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Berufsorientierung der Tätigkeit;</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Förderung selbstständiger Arbeitsfähigkeiten;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Einsatz moderner Lehrmethoden;</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lastRenderedPageBreak/>
        <w:t>Flexibilität im Unterricht.</w:t>
      </w:r>
      <w:proofErr w:type="gramEnd"/>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Die Realisierung dieser Ziele ermöglicht:</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die</w:t>
      </w:r>
      <w:proofErr w:type="gramEnd"/>
      <w:r w:rsidRPr="00EB317E">
        <w:rPr>
          <w:rFonts w:ascii="Times New Roman" w:hAnsi="Times New Roman" w:cs="Times New Roman"/>
          <w:sz w:val="24"/>
          <w:szCs w:val="24"/>
          <w:lang w:val="en-US"/>
        </w:rPr>
        <w:t xml:space="preserve"> Erhöhung der Wettbewerbsfähigkeit der Absolventen der KGTU;</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die Übereinstimmung mit der modernen Bildungsphilosophie, die im Zuge der Annäherung der Bildungssysteme europäischer Länder bei der Schaffung eines einheitlichen europäischen Bildungsraums den Übergang vom „Teaching“- zum „Learning“-Format signalisiert (nicht der Mensch wird „unterrichtet“, sondern er „lernt“ selbst);</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die</w:t>
      </w:r>
      <w:proofErr w:type="gramEnd"/>
      <w:r w:rsidRPr="00EB317E">
        <w:rPr>
          <w:rFonts w:ascii="Times New Roman" w:hAnsi="Times New Roman" w:cs="Times New Roman"/>
          <w:sz w:val="24"/>
          <w:szCs w:val="24"/>
          <w:lang w:val="en-US"/>
        </w:rPr>
        <w:t xml:space="preserve"> Förderung der akademischen Mobilität von Lehrenden und Studierenden.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Das Zentrum für Deutsche Sprache bildet KGTI-Studierende gemäß den Lehrplänen der Fachrichtungen in deutscher Sprache aus und fungiert </w:t>
      </w:r>
      <w:proofErr w:type="gramStart"/>
      <w:r w:rsidRPr="00EB317E">
        <w:rPr>
          <w:rFonts w:ascii="Times New Roman" w:hAnsi="Times New Roman" w:cs="Times New Roman"/>
          <w:sz w:val="24"/>
          <w:szCs w:val="24"/>
          <w:lang w:val="en-US"/>
        </w:rPr>
        <w:t>als</w:t>
      </w:r>
      <w:proofErr w:type="gramEnd"/>
      <w:r w:rsidRPr="00EB317E">
        <w:rPr>
          <w:rFonts w:ascii="Times New Roman" w:hAnsi="Times New Roman" w:cs="Times New Roman"/>
          <w:sz w:val="24"/>
          <w:szCs w:val="24"/>
          <w:lang w:val="en-US"/>
        </w:rPr>
        <w:t xml:space="preserve"> unterstützende, nicht abschließende Abteilung. Die Entwicklungsstrategie sieht die Ausbildung aller Sprachfertigkeiten in einem umfassenden Ansatz vor, der Folgendes umfasst:</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mündliche</w:t>
      </w:r>
      <w:proofErr w:type="gramEnd"/>
      <w:r w:rsidRPr="00EB317E">
        <w:rPr>
          <w:rFonts w:ascii="Times New Roman" w:hAnsi="Times New Roman" w:cs="Times New Roman"/>
          <w:sz w:val="24"/>
          <w:szCs w:val="24"/>
          <w:lang w:val="en-US"/>
        </w:rPr>
        <w:t xml:space="preserve"> Kommunikation im beruflichen Umfeld;</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Lesen fachlicher Literatur und periodischer Materialien zur Gewinnung berufsrelevanter Informationen;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Geschäftskorrespondenz und Dokumentation unter Anwendung moderner Kommunikationsmittel;</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Verfassen verschiedener schriftlicher Arbeiten im berufsorientierten Bereich (Lebenslauf, Bericht, Referat, Essay) durch kreative Aufarbeitung und inhaltlich-stilistische Analyse authentischer Materialien.</w:t>
      </w:r>
      <w:proofErr w:type="gramEnd"/>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Allgemeine Entwicklungsrichtungen des ZDS</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Im Rahmen dieser Strategie und zur Verbesserung des Unterrichtsprozesses und der Qualität der sprachlichen Ausbildung beabsichtigt das ZDS, sich </w:t>
      </w:r>
      <w:proofErr w:type="gramStart"/>
      <w:r w:rsidRPr="00EB317E">
        <w:rPr>
          <w:rFonts w:ascii="Times New Roman" w:hAnsi="Times New Roman" w:cs="Times New Roman"/>
          <w:sz w:val="24"/>
          <w:szCs w:val="24"/>
          <w:lang w:val="en-US"/>
        </w:rPr>
        <w:t>an</w:t>
      </w:r>
      <w:proofErr w:type="gramEnd"/>
      <w:r w:rsidRPr="00EB317E">
        <w:rPr>
          <w:rFonts w:ascii="Times New Roman" w:hAnsi="Times New Roman" w:cs="Times New Roman"/>
          <w:sz w:val="24"/>
          <w:szCs w:val="24"/>
          <w:lang w:val="en-US"/>
        </w:rPr>
        <w:t xml:space="preserve"> folgenden wissenschaftlich-praktischen Tätigkeitsfeldern zu orientieren:</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wissenschaftlich-methodische</w:t>
      </w:r>
      <w:proofErr w:type="gramEnd"/>
      <w:r w:rsidRPr="00EB317E">
        <w:rPr>
          <w:rFonts w:ascii="Times New Roman" w:hAnsi="Times New Roman" w:cs="Times New Roman"/>
          <w:sz w:val="24"/>
          <w:szCs w:val="24"/>
          <w:lang w:val="en-US"/>
        </w:rPr>
        <w:t xml:space="preserve"> Tätigkeit;</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lehr-methodische</w:t>
      </w:r>
      <w:proofErr w:type="gramEnd"/>
      <w:r w:rsidRPr="00EB317E">
        <w:rPr>
          <w:rFonts w:ascii="Times New Roman" w:hAnsi="Times New Roman" w:cs="Times New Roman"/>
          <w:sz w:val="24"/>
          <w:szCs w:val="24"/>
          <w:lang w:val="en-US"/>
        </w:rPr>
        <w:t xml:space="preserve"> Tätigkeit;</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organisatorisch-methodische</w:t>
      </w:r>
      <w:proofErr w:type="gramEnd"/>
      <w:r w:rsidRPr="00EB317E">
        <w:rPr>
          <w:rFonts w:ascii="Times New Roman" w:hAnsi="Times New Roman" w:cs="Times New Roman"/>
          <w:sz w:val="24"/>
          <w:szCs w:val="24"/>
          <w:lang w:val="en-US"/>
        </w:rPr>
        <w:t xml:space="preserve"> Tätigkeit;</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pädagogische/erzieherische</w:t>
      </w:r>
      <w:proofErr w:type="gramEnd"/>
      <w:r w:rsidRPr="00EB317E">
        <w:rPr>
          <w:rFonts w:ascii="Times New Roman" w:hAnsi="Times New Roman" w:cs="Times New Roman"/>
          <w:sz w:val="24"/>
          <w:szCs w:val="24"/>
          <w:lang w:val="en-US"/>
        </w:rPr>
        <w:t xml:space="preserve"> Tätigkeit;</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Förderung des personellen Potenzials und Weiterbildung.</w:t>
      </w:r>
      <w:proofErr w:type="gramEnd"/>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Wissenschaftlich-methodische Tätigkeit:</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Bei der Organisation der Forschung werden zwei Hauptbereiche hervorgehoben: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Abteilungsübergreifendes Thema „Probleme der interkulturellen Kommunikation in der Sprachtheorie und interaktive Methoden des Deutschunterrichts an technischen Hochschulen“ </w:t>
      </w:r>
      <w:r w:rsidRPr="00EB317E">
        <w:rPr>
          <w:rFonts w:ascii="Times New Roman" w:hAnsi="Times New Roman" w:cs="Times New Roman"/>
          <w:sz w:val="24"/>
          <w:szCs w:val="24"/>
          <w:lang w:val="en-US"/>
        </w:rPr>
        <w:lastRenderedPageBreak/>
        <w:t>zur Untersuchung der Entwicklung, Begründung und Umsetzung eines ganzheitlichen Systems der Sprachbildung zur Verbesserung der Fremdsprachenergebnisse der Studierenden;</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Individuelle Forschung von Lehrenden zu verschiedenen sprachlichen Aspekten.</w:t>
      </w:r>
      <w:proofErr w:type="gramEnd"/>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Das wissenschaftliche Konzept der Abteilung umfasst ein Qualitätssicherungssystem auf Basis methodologischer Grundlagen, Monitoring der Unterrichtsqualität und Einführung neuer lingvodidaktischer Technologien, insbesondere berufsorientierte Methoden (Fachsprache, Fremdsprachen für spezielle Zwecke, Methoden zur Förderung autonomen Lernens, personenbezogene Methoden).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Die Ergebnisse der wissenschaftlichen Arbeit des ZDS sollen in wissenschaftlich-methodischen Publikationen, in Vorträgen auf Konferenzen und in die Lehre eingebracht werden.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Lehr-methodische Tätigkeit:</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Umfasst:</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Arbeitsprogramme für Kurse und Fächer;</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Kalenderische Unterrichtsplanung;</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Methodische Materialien zur Umsetzung der Bildungsprozesse;</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Materialien zur Sicherung der Qualität der Ausbildung;</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Erstellung, Veröffentlichung und Aktualisierung von Lehrmaterialien für Kurse und Fachdeutsch;</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Auswahl authentischer Materialien, um den Sprachunterricht </w:t>
      </w:r>
      <w:proofErr w:type="gramStart"/>
      <w:r w:rsidRPr="00EB317E">
        <w:rPr>
          <w:rFonts w:ascii="Times New Roman" w:hAnsi="Times New Roman" w:cs="Times New Roman"/>
          <w:sz w:val="24"/>
          <w:szCs w:val="24"/>
          <w:lang w:val="en-US"/>
        </w:rPr>
        <w:t>an</w:t>
      </w:r>
      <w:proofErr w:type="gramEnd"/>
      <w:r w:rsidRPr="00EB317E">
        <w:rPr>
          <w:rFonts w:ascii="Times New Roman" w:hAnsi="Times New Roman" w:cs="Times New Roman"/>
          <w:sz w:val="24"/>
          <w:szCs w:val="24"/>
          <w:lang w:val="en-US"/>
        </w:rPr>
        <w:t xml:space="preserve"> verschiedenen Leistungsniveaus der Studierenden anzupassen.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 xml:space="preserve">Neue methodisch-technologische Ansätze </w:t>
      </w:r>
      <w:proofErr w:type="gramStart"/>
      <w:r w:rsidRPr="00EB317E">
        <w:rPr>
          <w:rFonts w:ascii="Times New Roman" w:hAnsi="Times New Roman" w:cs="Times New Roman"/>
          <w:sz w:val="24"/>
          <w:szCs w:val="24"/>
          <w:lang w:val="en-US"/>
        </w:rPr>
        <w:t>sind</w:t>
      </w:r>
      <w:proofErr w:type="gramEnd"/>
      <w:r w:rsidRPr="00EB317E">
        <w:rPr>
          <w:rFonts w:ascii="Times New Roman" w:hAnsi="Times New Roman" w:cs="Times New Roman"/>
          <w:sz w:val="24"/>
          <w:szCs w:val="24"/>
          <w:lang w:val="en-US"/>
        </w:rPr>
        <w:t xml:space="preserve"> notwendig, um eine qualitativ hochwertige Sprachbildung zu gewährleisten, einschließlich:</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Nutzung internationaler Erfahrungen bei der Entwicklung innovativer Sprachkurse, die theoretische und praktische Aspekte verbinden;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Weiterbildung von Lehrkräften in modernen Unterrichtsmethoden unter Einsatz neuer Technologien und Softwareprodukte, insbesondere für Online-Unterricht.</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Organisatorisch-methodische Tätigkeit:</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Die Optimierung des Unterrichtsprozesses erfolgt durch die Einführung neuer Unterrichtsformen bei gleichzeitiger Beibehaltung bewährter traditioneller Methoden:</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aktive</w:t>
      </w:r>
      <w:proofErr w:type="gramEnd"/>
      <w:r w:rsidRPr="00EB317E">
        <w:rPr>
          <w:rFonts w:ascii="Times New Roman" w:hAnsi="Times New Roman" w:cs="Times New Roman"/>
          <w:sz w:val="24"/>
          <w:szCs w:val="24"/>
          <w:lang w:val="en-US"/>
        </w:rPr>
        <w:t xml:space="preserve"> Methoden des Fremdsprachenunterrichts;</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intensive</w:t>
      </w:r>
      <w:proofErr w:type="gramEnd"/>
      <w:r w:rsidRPr="00EB317E">
        <w:rPr>
          <w:rFonts w:ascii="Times New Roman" w:hAnsi="Times New Roman" w:cs="Times New Roman"/>
          <w:sz w:val="24"/>
          <w:szCs w:val="24"/>
          <w:lang w:val="en-US"/>
        </w:rPr>
        <w:t xml:space="preserve"> Unterrichtsformen;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Einsatz von Rollenspielen und Planspielen;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Organisation des Lehrmaterials in Modulen;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lastRenderedPageBreak/>
        <w:t>Teilnahme am modularen Bewertungssystem.</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Kontrollfunktionen spielen eine wesentliche Rolle bei der Sicherung der Unterrichtseffektivität, einschließlich:</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laufender</w:t>
      </w:r>
      <w:proofErr w:type="gramEnd"/>
      <w:r w:rsidRPr="00EB317E">
        <w:rPr>
          <w:rFonts w:ascii="Times New Roman" w:hAnsi="Times New Roman" w:cs="Times New Roman"/>
          <w:sz w:val="24"/>
          <w:szCs w:val="24"/>
          <w:lang w:val="en-US"/>
        </w:rPr>
        <w:t xml:space="preserve"> Kontrolle;</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abschließender</w:t>
      </w:r>
      <w:proofErr w:type="gramEnd"/>
      <w:r w:rsidRPr="00EB317E">
        <w:rPr>
          <w:rFonts w:ascii="Times New Roman" w:hAnsi="Times New Roman" w:cs="Times New Roman"/>
          <w:sz w:val="24"/>
          <w:szCs w:val="24"/>
          <w:lang w:val="en-US"/>
        </w:rPr>
        <w:t xml:space="preserve"> (semesterbezogener) Qualitätskontrolle;</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Kontrolle der Erfüllung von Nachholaufgaben.</w:t>
      </w:r>
      <w:proofErr w:type="gramEnd"/>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Pädagogische Tätigkeit der Abteilung:</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Die Schaffung eines erzieherischen Umfelds basiert auf Prinzipien wie:</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Förderung des psychischen, spirituellen und sozialen Wohlbefindens von Studierenden und Lehrenden;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Transparenz von Zielen, Inhalten und Methoden sowie Wahlfreiheit, um individuelle Selbstverwirklichung durch verpflichtende, optionale und personalisierte Programme zu ermöglichen;</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pädagogische</w:t>
      </w:r>
      <w:proofErr w:type="gramEnd"/>
      <w:r w:rsidRPr="00EB317E">
        <w:rPr>
          <w:rFonts w:ascii="Times New Roman" w:hAnsi="Times New Roman" w:cs="Times New Roman"/>
          <w:sz w:val="24"/>
          <w:szCs w:val="24"/>
          <w:lang w:val="en-US"/>
        </w:rPr>
        <w:t xml:space="preserve"> Unterstützung der Selbstbildung von Studierenden und Lehrkräften.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Ergebnisse pädagogischer Arbeit sind gemeinsame Veranstaltungen wie Konferenzen, Olympiaden, die „Internationale Sprachwoche“, „Deutsche Weihnachten“, Wettbewerbe und kulturelle Aktivitäten in deutscher Sprache.</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Organisation eines Gesprächs- und Spielclubs auf Deutsch durch DAAD-Dozenten für interessierte Studierende.</w:t>
      </w:r>
      <w:proofErr w:type="gramEnd"/>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Förderung des personellen Potenzials und Weiterbildung:</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Zur Stärkung des personellen Potenzials plant das ZDS:</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Rekrutierung qualifizierter, festangestellter Mitarbeiter;</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Schulung von Lehrkräften in modernen Unterrichtsmethoden unter Einsatz neuer Technologien, organisiert durch DAAD und Goethe-Institut in Kirgisistan und im Ausland;</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Einrichtung eines permanenten Lehr- und Methodik-Seminars zum Erfahrungsaustausch unter den Dozenten;</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Kreative Zusammenarbeit mit Sprachabteilungen führender Hochschulen in Kirgisistan und weltweit;</w:t>
      </w:r>
    </w:p>
    <w:p w:rsidR="00643E87" w:rsidRPr="00EB317E" w:rsidRDefault="00643E87" w:rsidP="00643E87">
      <w:pPr>
        <w:jc w:val="both"/>
        <w:rPr>
          <w:rFonts w:ascii="Times New Roman" w:hAnsi="Times New Roman" w:cs="Times New Roman"/>
          <w:sz w:val="24"/>
          <w:szCs w:val="24"/>
          <w:lang w:val="en-US"/>
        </w:rPr>
      </w:pPr>
      <w:proofErr w:type="gramStart"/>
      <w:r w:rsidRPr="00EB317E">
        <w:rPr>
          <w:rFonts w:ascii="Times New Roman" w:hAnsi="Times New Roman" w:cs="Times New Roman"/>
          <w:sz w:val="24"/>
          <w:szCs w:val="24"/>
          <w:lang w:val="en-US"/>
        </w:rPr>
        <w:t>Teilnahme an Online-Kursen und Seminaren von KGTU, DAAD, Goethe-Institut (Deutschland) und anderen Hochschulen.</w:t>
      </w:r>
      <w:proofErr w:type="gramEnd"/>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Leiterin des ZDS:</w:t>
      </w:r>
    </w:p>
    <w:p w:rsidR="00643E87" w:rsidRPr="00EB317E" w:rsidRDefault="00643E87" w:rsidP="00643E87">
      <w:pPr>
        <w:jc w:val="both"/>
        <w:rPr>
          <w:rFonts w:ascii="Times New Roman" w:hAnsi="Times New Roman" w:cs="Times New Roman"/>
          <w:sz w:val="24"/>
          <w:szCs w:val="24"/>
          <w:lang w:val="en-US"/>
        </w:rPr>
      </w:pPr>
      <w:r w:rsidRPr="00EB317E">
        <w:rPr>
          <w:rFonts w:ascii="Times New Roman" w:hAnsi="Times New Roman" w:cs="Times New Roman"/>
          <w:sz w:val="24"/>
          <w:szCs w:val="24"/>
          <w:lang w:val="en-US"/>
        </w:rPr>
        <w:t>Doz. F. T. Andasheva</w:t>
      </w:r>
    </w:p>
    <w:p w:rsidR="008D6077" w:rsidRPr="00643E87" w:rsidRDefault="008D6077">
      <w:pPr>
        <w:rPr>
          <w:lang w:val="en-US"/>
        </w:rPr>
      </w:pPr>
      <w:bookmarkStart w:id="0" w:name="_GoBack"/>
      <w:bookmarkEnd w:id="0"/>
    </w:p>
    <w:sectPr w:rsidR="008D6077" w:rsidRPr="00643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41"/>
    <w:rsid w:val="00643E87"/>
    <w:rsid w:val="008D6077"/>
    <w:rsid w:val="00B91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2026-02-17T05:17:00Z</dcterms:created>
  <dcterms:modified xsi:type="dcterms:W3CDTF">2026-02-17T05:17:00Z</dcterms:modified>
</cp:coreProperties>
</file>