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A52" w:rsidRPr="00EB317E" w:rsidRDefault="000D1A52" w:rsidP="000D1A52">
      <w:pPr>
        <w:jc w:val="both"/>
        <w:rPr>
          <w:rFonts w:ascii="Times New Roman" w:hAnsi="Times New Roman" w:cs="Times New Roman"/>
          <w:b/>
          <w:bCs/>
          <w:sz w:val="24"/>
          <w:szCs w:val="24"/>
          <w:lang w:val="en-US"/>
        </w:rPr>
      </w:pPr>
      <w:r w:rsidRPr="00EB317E">
        <w:rPr>
          <w:rFonts w:ascii="Times New Roman" w:hAnsi="Times New Roman" w:cs="Times New Roman"/>
          <w:b/>
          <w:bCs/>
          <w:sz w:val="24"/>
          <w:szCs w:val="24"/>
          <w:lang w:val="en-US"/>
        </w:rPr>
        <w:t>Development Strategy and Its Implementation</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In the context of modern technological advancement, the issue of language training for highly qualified specialists—engineers at technical universities—has become particularly urgent, as they are expected to drive and accelerate technological progress. Today, foreign language education as a means of communication between specialists from different countries is understood not merely as a practical task of teaching the language of a specific field. A modern university specialist is a broadly educated individual with a solid foundational background. Accordingly, a foreign language for such a specialist serves as both a tool of production, a component of culture, and a means of humanizing education.</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The development strategy of the German Language Center (GLC) is based on the concept of language education in a non-linguistic university, which is founded on the following principles: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Formation and development of professionally-oriented foreign language competence for graduates of a technical university is not an end in itself. It is aimed at implementing both the traditional principles of university education (fundamentality, systematization, integration of theoretical training with practical application) and innovative educational programs, technologies, forms, and methods of organizing the educational process.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Advanced language training in KSTU specialties and the development of skills for professionally-oriented communication in German constitute pragmatic competence. Pragmatic competence implies the ability to use linguistic means for specific functional purposes in accordance with professional interaction schemes.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Formation and development of intercultural competence, which presupposes the acquisition of specialized knowledge, skills, professional motives, abilities, and personal attitudes that enable a specialist to successfully collaborate with partners from other cultures in a professional context.</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The goal of the GLC development concept is to define a strategy of action to address the following objectives: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Development of general organizational directions for the department’s work;</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Enhancement of human resource potential;</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Expansion of organizational, scientific, and methodological forms of educational activity;</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Provision of additional conditions for students’ language training;</w:t>
      </w:r>
    </w:p>
    <w:p w:rsidR="000D1A52" w:rsidRPr="00EB317E" w:rsidRDefault="000D1A52" w:rsidP="000D1A52">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Preparation of highly qualified technical specialists with proficiency in German.</w:t>
      </w:r>
      <w:proofErr w:type="gramEnd"/>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The implementation of these objectives is based on the following core principles: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Professional orientation of activities;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Development of independent learning skills;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Use of modern teaching methodologies;</w:t>
      </w:r>
    </w:p>
    <w:p w:rsidR="000D1A52" w:rsidRPr="00EB317E" w:rsidRDefault="000D1A52" w:rsidP="000D1A52">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Flexibility in education.</w:t>
      </w:r>
      <w:proofErr w:type="gramEnd"/>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lastRenderedPageBreak/>
        <w:t>Achieving these objectives will allow:</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Increasing the competitiveness of KSTU graduates;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Aligning with the modern philosophy of education, which, in the context of harmonizing European education systems to form a unified European educational space, implies a shift from the “teaching” model to the “learning” model (students are not “taught,” but actively “learn”);</w:t>
      </w:r>
    </w:p>
    <w:p w:rsidR="000D1A52" w:rsidRPr="00EB317E" w:rsidRDefault="000D1A52" w:rsidP="000D1A52">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Promoting academic mobility for both faculty and students.</w:t>
      </w:r>
      <w:proofErr w:type="gramEnd"/>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The German Language Center provides German language training for KSTU students according to the curricula of their respective specialties and functions as an auxiliary, non-degree-awarding department. The development strategy encompasses training in all types of language activities necessary for:</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Oral communication within professional contexts;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Reading specialized literature and periodicals with extraction of professionally relevant information;</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Business correspondence and documentation using modern communication tools;</w:t>
      </w:r>
    </w:p>
    <w:p w:rsidR="000D1A52" w:rsidRPr="00EB317E" w:rsidRDefault="000D1A52" w:rsidP="000D1A52">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Writing various types of professional documents (resumes, reports, essays, abstracts) through creative comprehension and content-stylistic analysis of authentic materials.</w:t>
      </w:r>
      <w:proofErr w:type="gramEnd"/>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General Directions for GLC Development:</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Within this strategy, to enhance the educational process and improve the quality of language training, the GLC intends to adhere to the following areas of scientific and practical activity:</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Scientific-methodological activity;</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Educational-methodological activity;</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Organizational-methodological activity;</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Educational and developmental activity;</w:t>
      </w:r>
    </w:p>
    <w:p w:rsidR="000D1A52" w:rsidRPr="00EB317E" w:rsidRDefault="000D1A52" w:rsidP="000D1A52">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Enhancement of staff potential and professional development.</w:t>
      </w:r>
      <w:proofErr w:type="gramEnd"/>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Scientific-Methodological Activity:</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Two main areas are planned within research organization: (1) a departmental theme, “Problems of Intercultural Communication in Language Theory and Interactive Methods of Teaching German at a Technical University”, dedicated to studying the design, justification, and implementation of a comprehensive system of language education to improve student outcomes in foreign language learning; and (2) individual research conducted by faculty studying various linguistic aspects.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 xml:space="preserve">The department’s scientific concept is a system for implementing quality management based on the study of methodological foundations of teaching, development of quality monitoring, and the introduction of new </w:t>
      </w:r>
      <w:proofErr w:type="spellStart"/>
      <w:r w:rsidRPr="00EB317E">
        <w:rPr>
          <w:rFonts w:ascii="Times New Roman" w:hAnsi="Times New Roman" w:cs="Times New Roman"/>
          <w:sz w:val="24"/>
          <w:szCs w:val="24"/>
          <w:lang w:val="en-US"/>
        </w:rPr>
        <w:t>linguodidactic</w:t>
      </w:r>
      <w:proofErr w:type="spellEnd"/>
      <w:r w:rsidRPr="00EB317E">
        <w:rPr>
          <w:rFonts w:ascii="Times New Roman" w:hAnsi="Times New Roman" w:cs="Times New Roman"/>
          <w:sz w:val="24"/>
          <w:szCs w:val="24"/>
          <w:lang w:val="en-US"/>
        </w:rPr>
        <w:t xml:space="preserve"> technologies, including professionally-oriented methods </w:t>
      </w:r>
      <w:r w:rsidRPr="00EB317E">
        <w:rPr>
          <w:rFonts w:ascii="Times New Roman" w:hAnsi="Times New Roman" w:cs="Times New Roman"/>
          <w:sz w:val="24"/>
          <w:szCs w:val="24"/>
          <w:lang w:val="en-US"/>
        </w:rPr>
        <w:lastRenderedPageBreak/>
        <w:t>(business languages, languages for specific purposes, autonomous learning methodologies, and learner-centered approaches).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Results of GLC research are expected to be reflected in scientific-methodological publications, presentations at national and international conferences, and integrated into the educational process.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Educational-Methodological Activity:</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Course syllabi and program documentation;</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Academic calendars;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Methodological materials supporting the implementation of educational technologies;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Materials ensuring the quality of student training;</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Preparation, publication, and updating of textbooks for courses and specialized German language programs for KSTU specialties;</w:t>
      </w:r>
    </w:p>
    <w:p w:rsidR="000D1A52" w:rsidRPr="00EB317E" w:rsidRDefault="000D1A52" w:rsidP="000D1A52">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Selection of authentic materials to accommodate different levels of student preparedness.</w:t>
      </w:r>
      <w:proofErr w:type="gramEnd"/>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To achieve a new quality of language education, it is necessary to develop new methodological and technological approaches to organizing the educational process, including:</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Incorporation of international experience in designing innovative language courses that combine theoretical and practical components;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Training faculty in modern teaching methodologies using new technologies and software, particularly relevant in online learning formats.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Organizational-Methodological Activity:</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Improvement of the educational process is carried out by introducing new teaching formats while retaining well-established traditional methods. These include:</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Active methods for teaching foreign languages;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Intensive learning formats;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Use of role-playing and business games;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Modular organization of study materials;</w:t>
      </w:r>
    </w:p>
    <w:p w:rsidR="000D1A52" w:rsidRPr="00EB317E" w:rsidRDefault="000D1A52" w:rsidP="000D1A52">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Participation in a modular-rating system for student assessment.</w:t>
      </w:r>
      <w:proofErr w:type="gramEnd"/>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Effective monitoring plays a significant role in ensuring quality learning outcomes. Forms and methods of knowledge assessment are aimed at evaluating the qualitative dimension of student learning, including:</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Ongoing assessment;</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Final (sessional) assessment;</w:t>
      </w:r>
    </w:p>
    <w:p w:rsidR="000D1A52" w:rsidRPr="00EB317E" w:rsidRDefault="000D1A52" w:rsidP="000D1A52">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lastRenderedPageBreak/>
        <w:t>Assessment of outstanding academic obligations.</w:t>
      </w:r>
      <w:proofErr w:type="gramEnd"/>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Educational and Developmental Activity:</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Creating a nurturing educational environment generates new resources through constructive engagement of its participants, implementing principles such as: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Focusing educational work on maintaining and enhancing students’ and faculty members’ psychological, spiritual, and social well-being;</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Transparency of goals, content, and forms of the educational process, allowing freedom of choice and self-realization through core, elective, and optional programs;</w:t>
      </w:r>
    </w:p>
    <w:p w:rsidR="000D1A52" w:rsidRPr="00EB317E" w:rsidRDefault="000D1A52" w:rsidP="000D1A52">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Pedagogical support for students’ and faculty’s self-development.</w:t>
      </w:r>
      <w:proofErr w:type="gramEnd"/>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Examples include joint conferences, competitions, “International Language Week” and “German Christmas,” cultural events—all conducted in the foreign language, as well as organization of a conversational and gaming club in German led by a DAAD lecturer for all interested students.</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Enhancing Staff Potential and Professional Development:</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To strengthen staff capacity, the GLC plans to:</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Implement personnel policies aimed at attracting qualified permanent staff;</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Train faculty in modern teaching methodologies using new technologies and software via short-term professional development courses organized by DAAD and the Goethe-</w:t>
      </w:r>
      <w:proofErr w:type="spellStart"/>
      <w:r w:rsidRPr="00EB317E">
        <w:rPr>
          <w:rFonts w:ascii="Times New Roman" w:hAnsi="Times New Roman" w:cs="Times New Roman"/>
          <w:sz w:val="24"/>
          <w:szCs w:val="24"/>
          <w:lang w:val="en-US"/>
        </w:rPr>
        <w:t>Institut</w:t>
      </w:r>
      <w:proofErr w:type="spellEnd"/>
      <w:r w:rsidRPr="00EB317E">
        <w:rPr>
          <w:rFonts w:ascii="Times New Roman" w:hAnsi="Times New Roman" w:cs="Times New Roman"/>
          <w:sz w:val="24"/>
          <w:szCs w:val="24"/>
          <w:lang w:val="en-US"/>
        </w:rPr>
        <w:t xml:space="preserve"> in Kyrgyzstan and abroad;</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Organize a permanent methodological seminar for experience exchange among faculty;</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Support creative collaboration with language departments of leading universities in Kyrgyzstan and abroad;</w:t>
      </w: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Participate in online courses and seminars organized by KSTU, DAAD, Goethe-</w:t>
      </w:r>
      <w:proofErr w:type="spellStart"/>
      <w:r w:rsidRPr="00EB317E">
        <w:rPr>
          <w:rFonts w:ascii="Times New Roman" w:hAnsi="Times New Roman" w:cs="Times New Roman"/>
          <w:sz w:val="24"/>
          <w:szCs w:val="24"/>
          <w:lang w:val="en-US"/>
        </w:rPr>
        <w:t>Institut</w:t>
      </w:r>
      <w:proofErr w:type="spellEnd"/>
      <w:r w:rsidRPr="00EB317E">
        <w:rPr>
          <w:rFonts w:ascii="Times New Roman" w:hAnsi="Times New Roman" w:cs="Times New Roman"/>
          <w:sz w:val="24"/>
          <w:szCs w:val="24"/>
          <w:lang w:val="en-US"/>
        </w:rPr>
        <w:t xml:space="preserve"> (Germany), and other institutions.</w:t>
      </w:r>
    </w:p>
    <w:p w:rsidR="000D1A52" w:rsidRPr="00EB317E" w:rsidRDefault="000D1A52" w:rsidP="000D1A52">
      <w:pPr>
        <w:jc w:val="both"/>
        <w:rPr>
          <w:rFonts w:ascii="Times New Roman" w:hAnsi="Times New Roman" w:cs="Times New Roman"/>
          <w:sz w:val="24"/>
          <w:szCs w:val="24"/>
          <w:lang w:val="en-US"/>
        </w:rPr>
      </w:pPr>
    </w:p>
    <w:p w:rsidR="000D1A52" w:rsidRPr="00EB317E" w:rsidRDefault="000D1A52" w:rsidP="000D1A52">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Head of the German Language Center:</w:t>
      </w:r>
    </w:p>
    <w:p w:rsidR="000D1A52" w:rsidRDefault="000D1A52" w:rsidP="000D1A52">
      <w:pPr>
        <w:jc w:val="both"/>
        <w:rPr>
          <w:rFonts w:ascii="Times New Roman" w:hAnsi="Times New Roman" w:cs="Times New Roman"/>
          <w:sz w:val="24"/>
          <w:szCs w:val="24"/>
        </w:rPr>
      </w:pPr>
      <w:proofErr w:type="spellStart"/>
      <w:r>
        <w:rPr>
          <w:rFonts w:ascii="Times New Roman" w:hAnsi="Times New Roman" w:cs="Times New Roman"/>
          <w:sz w:val="24"/>
          <w:szCs w:val="24"/>
        </w:rPr>
        <w:t>Assoc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F. T. </w:t>
      </w:r>
      <w:proofErr w:type="spellStart"/>
      <w:r>
        <w:rPr>
          <w:rFonts w:ascii="Times New Roman" w:hAnsi="Times New Roman" w:cs="Times New Roman"/>
          <w:sz w:val="24"/>
          <w:szCs w:val="24"/>
        </w:rPr>
        <w:t>Andasheva</w:t>
      </w:r>
      <w:proofErr w:type="spellEnd"/>
    </w:p>
    <w:p w:rsidR="008D6077" w:rsidRDefault="008D6077">
      <w:bookmarkStart w:id="0" w:name="_GoBack"/>
      <w:bookmarkEnd w:id="0"/>
    </w:p>
    <w:sectPr w:rsidR="008D6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0AA"/>
    <w:rsid w:val="000D1A52"/>
    <w:rsid w:val="002E40AA"/>
    <w:rsid w:val="008D6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A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A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2026-02-17T05:17:00Z</dcterms:created>
  <dcterms:modified xsi:type="dcterms:W3CDTF">2026-02-17T05:17:00Z</dcterms:modified>
</cp:coreProperties>
</file>